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8C5" w:rsidRPr="002C213F" w:rsidRDefault="000020EE"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A5539D">
        <w:rPr>
          <w:rFonts w:ascii="Arial" w:hAnsi="Arial" w:cs="Arial"/>
          <w:b/>
          <w:sz w:val="24"/>
          <w:szCs w:val="24"/>
          <w:lang w:val="de-DE"/>
        </w:rPr>
        <w:t>TSG-RAN WG4 Meeting #84-Bis</w:t>
      </w:r>
      <w:r w:rsidR="000918C5">
        <w:rPr>
          <w:rFonts w:ascii="Arial" w:hAnsi="Arial" w:cs="Arial"/>
          <w:b/>
          <w:sz w:val="24"/>
          <w:szCs w:val="24"/>
          <w:lang w:val="de-DE"/>
        </w:rPr>
        <w:tab/>
      </w:r>
      <w:r w:rsidR="00397DC8">
        <w:rPr>
          <w:rFonts w:ascii="Arial" w:hAnsi="Arial" w:cs="Arial"/>
          <w:b/>
          <w:sz w:val="24"/>
          <w:szCs w:val="24"/>
          <w:lang w:val="de-DE"/>
        </w:rPr>
        <w:t>R4-1710430</w:t>
      </w:r>
      <w:r w:rsidR="000918C5">
        <w:rPr>
          <w:rFonts w:ascii="Arial" w:hAnsi="Arial" w:cs="Arial"/>
          <w:b/>
          <w:sz w:val="24"/>
          <w:szCs w:val="24"/>
          <w:lang w:val="de-DE"/>
        </w:rPr>
        <w:br/>
      </w:r>
      <w:r w:rsidR="00A5539D">
        <w:rPr>
          <w:rFonts w:ascii="Arial" w:hAnsi="Arial" w:cs="Arial"/>
          <w:b/>
          <w:sz w:val="24"/>
          <w:szCs w:val="24"/>
        </w:rPr>
        <w:t>Dubrovnik</w:t>
      </w:r>
      <w:r w:rsidR="000918C5" w:rsidRPr="002C213F">
        <w:rPr>
          <w:rFonts w:ascii="Arial" w:hAnsi="Arial" w:cs="Arial"/>
          <w:b/>
          <w:sz w:val="24"/>
          <w:szCs w:val="24"/>
        </w:rPr>
        <w:t xml:space="preserve">, </w:t>
      </w:r>
      <w:r w:rsidR="00A5539D">
        <w:rPr>
          <w:rFonts w:ascii="Arial" w:hAnsi="Arial" w:cs="Arial"/>
          <w:b/>
          <w:sz w:val="24"/>
          <w:szCs w:val="24"/>
        </w:rPr>
        <w:t>Croatia</w:t>
      </w:r>
      <w:r w:rsidR="000918C5" w:rsidRPr="002C213F">
        <w:rPr>
          <w:rFonts w:ascii="Arial" w:hAnsi="Arial" w:cs="Arial"/>
          <w:b/>
          <w:sz w:val="24"/>
          <w:szCs w:val="24"/>
        </w:rPr>
        <w:t xml:space="preserve">, </w:t>
      </w:r>
      <w:r w:rsidR="00A5539D">
        <w:rPr>
          <w:rFonts w:ascii="Arial" w:hAnsi="Arial" w:cs="Arial"/>
          <w:b/>
          <w:sz w:val="24"/>
          <w:szCs w:val="24"/>
        </w:rPr>
        <w:t>09</w:t>
      </w:r>
      <w:r w:rsidR="000918C5" w:rsidRPr="002C213F">
        <w:rPr>
          <w:rFonts w:ascii="Arial" w:hAnsi="Arial" w:cs="Arial"/>
          <w:b/>
          <w:sz w:val="24"/>
          <w:szCs w:val="24"/>
        </w:rPr>
        <w:t xml:space="preserve"> – </w:t>
      </w:r>
      <w:r w:rsidR="00A5539D">
        <w:rPr>
          <w:rFonts w:ascii="Arial" w:hAnsi="Arial" w:cs="Arial"/>
          <w:b/>
          <w:sz w:val="24"/>
          <w:szCs w:val="24"/>
        </w:rPr>
        <w:t>13</w:t>
      </w:r>
      <w:r w:rsidR="008D2020">
        <w:rPr>
          <w:rFonts w:ascii="Arial" w:hAnsi="Arial" w:cs="Arial"/>
          <w:b/>
          <w:sz w:val="24"/>
          <w:szCs w:val="24"/>
        </w:rPr>
        <w:t xml:space="preserve"> </w:t>
      </w:r>
      <w:r w:rsidR="00A5539D">
        <w:rPr>
          <w:rFonts w:ascii="Arial" w:hAnsi="Arial" w:cs="Arial"/>
          <w:b/>
          <w:sz w:val="24"/>
          <w:szCs w:val="24"/>
        </w:rPr>
        <w:t>Octo</w:t>
      </w:r>
      <w:r>
        <w:rPr>
          <w:rFonts w:ascii="Arial" w:hAnsi="Arial" w:cs="Arial"/>
          <w:b/>
          <w:sz w:val="24"/>
          <w:szCs w:val="24"/>
        </w:rPr>
        <w:t>ber</w:t>
      </w:r>
      <w:r w:rsidR="005D6042">
        <w:rPr>
          <w:rFonts w:ascii="Arial" w:hAnsi="Arial" w:cs="Arial"/>
          <w:b/>
          <w:sz w:val="24"/>
          <w:szCs w:val="24"/>
        </w:rPr>
        <w:t>, 2017</w:t>
      </w:r>
    </w:p>
    <w:p w:rsidR="000918C5" w:rsidRPr="0008103A" w:rsidRDefault="000918C5" w:rsidP="000918C5">
      <w:pPr>
        <w:rPr>
          <w:rFonts w:ascii="Arial" w:hAnsi="Arial" w:cs="Arial"/>
          <w:b/>
          <w:sz w:val="24"/>
          <w:szCs w:val="24"/>
        </w:rPr>
      </w:pPr>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8018D">
        <w:rPr>
          <w:rFonts w:ascii="Arial" w:hAnsi="Arial" w:cs="Arial"/>
          <w:b/>
          <w:sz w:val="24"/>
          <w:szCs w:val="24"/>
        </w:rPr>
        <w:t>9</w:t>
      </w:r>
      <w:r w:rsidR="00F757E2">
        <w:rPr>
          <w:rFonts w:ascii="Arial" w:hAnsi="Arial" w:cs="Arial"/>
          <w:b/>
          <w:sz w:val="24"/>
          <w:szCs w:val="24"/>
        </w:rPr>
        <w:t>.</w:t>
      </w:r>
      <w:r w:rsidR="0068018D">
        <w:rPr>
          <w:rFonts w:ascii="Arial" w:hAnsi="Arial" w:cs="Arial"/>
          <w:b/>
          <w:sz w:val="24"/>
          <w:szCs w:val="24"/>
        </w:rPr>
        <w:t>4</w:t>
      </w:r>
      <w:r w:rsidR="00F757E2">
        <w:rPr>
          <w:rFonts w:ascii="Arial" w:hAnsi="Arial" w:cs="Arial"/>
          <w:b/>
          <w:sz w:val="24"/>
          <w:szCs w:val="24"/>
        </w:rPr>
        <w:t>.3.</w:t>
      </w:r>
      <w:r w:rsidR="00BC5369">
        <w:rPr>
          <w:rFonts w:ascii="Arial" w:hAnsi="Arial" w:cs="Arial"/>
          <w:b/>
          <w:sz w:val="24"/>
          <w:szCs w:val="24"/>
        </w:rPr>
        <w:t>2</w:t>
      </w:r>
      <w:r w:rsidR="00F757E2">
        <w:rPr>
          <w:rFonts w:ascii="Arial" w:hAnsi="Arial" w:cs="Arial"/>
          <w:b/>
          <w:sz w:val="24"/>
          <w:szCs w:val="24"/>
        </w:rPr>
        <w:t>.</w:t>
      </w:r>
      <w:r w:rsidR="00BC5369">
        <w:rPr>
          <w:rFonts w:ascii="Arial" w:hAnsi="Arial" w:cs="Arial"/>
          <w:b/>
          <w:sz w:val="24"/>
          <w:szCs w:val="24"/>
        </w:rPr>
        <w:t>2</w:t>
      </w:r>
    </w:p>
    <w:p w:rsidR="000918C5" w:rsidRPr="0008103A" w:rsidRDefault="000918C5" w:rsidP="000918C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A4694E">
        <w:rPr>
          <w:rFonts w:ascii="Arial" w:hAnsi="Arial" w:cs="Arial"/>
          <w:b/>
          <w:sz w:val="24"/>
          <w:szCs w:val="24"/>
        </w:rPr>
        <w:t>, Apple, Samsung</w:t>
      </w:r>
      <w:bookmarkStart w:id="0" w:name="_GoBack"/>
      <w:bookmarkEnd w:id="0"/>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10C98">
        <w:rPr>
          <w:rFonts w:ascii="Arial" w:hAnsi="Arial" w:cs="Arial"/>
          <w:b/>
          <w:sz w:val="24"/>
          <w:szCs w:val="24"/>
        </w:rPr>
        <w:t xml:space="preserve">On </w:t>
      </w:r>
      <w:r w:rsidR="00BC5369">
        <w:rPr>
          <w:rFonts w:ascii="Arial" w:hAnsi="Arial" w:cs="Arial"/>
          <w:b/>
          <w:sz w:val="24"/>
          <w:szCs w:val="24"/>
        </w:rPr>
        <w:t xml:space="preserve">Spherical Coverage: </w:t>
      </w:r>
      <w:r w:rsidR="00E10C98">
        <w:rPr>
          <w:rFonts w:ascii="Arial" w:hAnsi="Arial" w:cs="Arial"/>
          <w:b/>
          <w:sz w:val="24"/>
          <w:szCs w:val="24"/>
        </w:rPr>
        <w:t>E</w:t>
      </w:r>
      <w:r w:rsidR="00BC5369">
        <w:rPr>
          <w:rFonts w:ascii="Arial" w:hAnsi="Arial" w:cs="Arial"/>
          <w:b/>
          <w:sz w:val="24"/>
          <w:szCs w:val="24"/>
        </w:rPr>
        <w:t>IRP CDF data</w:t>
      </w:r>
      <w:r w:rsidR="00E10C98">
        <w:rPr>
          <w:rFonts w:ascii="Arial" w:hAnsi="Arial" w:cs="Arial"/>
          <w:b/>
          <w:sz w:val="24"/>
          <w:szCs w:val="24"/>
        </w:rPr>
        <w:t xml:space="preserve"> for mm</w:t>
      </w:r>
      <w:r w:rsidR="007F7472">
        <w:rPr>
          <w:rFonts w:ascii="Arial" w:hAnsi="Arial" w:cs="Arial"/>
          <w:b/>
          <w:sz w:val="24"/>
          <w:szCs w:val="24"/>
        </w:rPr>
        <w:t>-</w:t>
      </w:r>
      <w:r w:rsidR="00E10C98">
        <w:rPr>
          <w:rFonts w:ascii="Arial" w:hAnsi="Arial" w:cs="Arial"/>
          <w:b/>
          <w:sz w:val="24"/>
          <w:szCs w:val="24"/>
        </w:rPr>
        <w:t>Wave</w:t>
      </w:r>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8018D">
        <w:rPr>
          <w:rFonts w:ascii="Arial" w:hAnsi="Arial" w:cs="Arial"/>
          <w:b/>
          <w:sz w:val="24"/>
          <w:szCs w:val="24"/>
        </w:rPr>
        <w:t>Approval</w:t>
      </w:r>
    </w:p>
    <w:p w:rsidR="000918C5" w:rsidRDefault="000918C5" w:rsidP="000918C5">
      <w:pPr>
        <w:pStyle w:val="Heading1"/>
      </w:pPr>
      <w:r w:rsidRPr="00647B25">
        <w:t>1</w:t>
      </w:r>
      <w:r w:rsidRPr="00647B25">
        <w:tab/>
        <w:t>Introduction</w:t>
      </w:r>
    </w:p>
    <w:p w:rsidR="00B47E53" w:rsidRDefault="00B47E53" w:rsidP="00B47E53">
      <w:pPr>
        <w:rPr>
          <w:rFonts w:eastAsia="Batang"/>
        </w:rPr>
      </w:pPr>
      <w:r w:rsidRPr="001720F2">
        <w:rPr>
          <w:rFonts w:eastAsia="Batang"/>
        </w:rPr>
        <w:t xml:space="preserve">During the RAN #75 meeting the study item on New Radio access technology </w:t>
      </w:r>
      <w:r w:rsidRPr="001720F2">
        <w:rPr>
          <w:rFonts w:eastAsia="Batang"/>
        </w:rPr>
        <w:fldChar w:fldCharType="begin"/>
      </w:r>
      <w:r w:rsidRPr="001720F2">
        <w:rPr>
          <w:rFonts w:eastAsia="Batang"/>
        </w:rPr>
        <w:instrText xml:space="preserve"> REF _Ref476814365 \r \h  \* MERGEFORMAT </w:instrText>
      </w:r>
      <w:r w:rsidRPr="001720F2">
        <w:rPr>
          <w:rFonts w:eastAsia="Batang"/>
        </w:rPr>
      </w:r>
      <w:r w:rsidRPr="001720F2">
        <w:rPr>
          <w:rFonts w:eastAsia="Batang"/>
        </w:rPr>
        <w:fldChar w:fldCharType="separate"/>
      </w:r>
      <w:r w:rsidRPr="001720F2">
        <w:rPr>
          <w:rFonts w:eastAsia="Batang"/>
        </w:rPr>
        <w:t>[1]</w:t>
      </w:r>
      <w:r w:rsidRPr="001720F2">
        <w:rPr>
          <w:rFonts w:eastAsia="Batang"/>
        </w:rPr>
        <w:fldChar w:fldCharType="end"/>
      </w:r>
      <w:r w:rsidRPr="001720F2">
        <w:rPr>
          <w:rFonts w:eastAsia="Batang"/>
        </w:rPr>
        <w:t xml:space="preserve"> was finalized with its outcome captured in TR38.803 </w:t>
      </w:r>
      <w:r w:rsidRPr="001720F2">
        <w:rPr>
          <w:rFonts w:eastAsia="Batang"/>
        </w:rPr>
        <w:fldChar w:fldCharType="begin"/>
      </w:r>
      <w:r w:rsidRPr="001720F2">
        <w:rPr>
          <w:rFonts w:eastAsia="Batang"/>
        </w:rPr>
        <w:instrText xml:space="preserve"> REF _Ref466239739 \r \h  \* MERGEFORMAT </w:instrText>
      </w:r>
      <w:r w:rsidRPr="001720F2">
        <w:rPr>
          <w:rFonts w:eastAsia="Batang"/>
        </w:rPr>
      </w:r>
      <w:r w:rsidRPr="001720F2">
        <w:rPr>
          <w:rFonts w:eastAsia="Batang"/>
        </w:rPr>
        <w:fldChar w:fldCharType="separate"/>
      </w:r>
      <w:r w:rsidRPr="001720F2">
        <w:rPr>
          <w:rFonts w:eastAsia="Batang"/>
        </w:rPr>
        <w:t>[2]</w:t>
      </w:r>
      <w:r w:rsidRPr="001720F2">
        <w:rPr>
          <w:rFonts w:eastAsia="Batang"/>
        </w:rPr>
        <w:fldChar w:fldCharType="end"/>
      </w:r>
      <w:r w:rsidRPr="001720F2">
        <w:rPr>
          <w:rFonts w:eastAsia="Batang"/>
        </w:rPr>
        <w:t xml:space="preserve">. During RAN #76 the New Radio Work Item was initiated </w:t>
      </w:r>
      <w:r w:rsidRPr="001720F2">
        <w:rPr>
          <w:rFonts w:eastAsia="Batang"/>
        </w:rPr>
        <w:fldChar w:fldCharType="begin"/>
      </w:r>
      <w:r w:rsidRPr="001720F2">
        <w:rPr>
          <w:rFonts w:eastAsia="Batang"/>
        </w:rPr>
        <w:instrText xml:space="preserve"> REF _Ref476813621 \r \h  \* MERGEFORMAT </w:instrText>
      </w:r>
      <w:r w:rsidRPr="001720F2">
        <w:rPr>
          <w:rFonts w:eastAsia="Batang"/>
        </w:rPr>
      </w:r>
      <w:r w:rsidRPr="001720F2">
        <w:rPr>
          <w:rFonts w:eastAsia="Batang"/>
        </w:rPr>
        <w:fldChar w:fldCharType="separate"/>
      </w:r>
      <w:r w:rsidRPr="001720F2">
        <w:rPr>
          <w:rFonts w:eastAsia="Batang"/>
        </w:rPr>
        <w:t>[3]</w:t>
      </w:r>
      <w:r w:rsidRPr="001720F2">
        <w:rPr>
          <w:rFonts w:eastAsia="Batang"/>
        </w:rPr>
        <w:fldChar w:fldCharType="end"/>
      </w:r>
      <w:r w:rsidRPr="001720F2">
        <w:rPr>
          <w:rFonts w:eastAsia="Batang"/>
        </w:rPr>
        <w:t xml:space="preserve">. With the agreement to define and test RF requirements for NR mm-wave over the air (OTA), the discussion of </w:t>
      </w:r>
      <w:r>
        <w:rPr>
          <w:rFonts w:eastAsia="Batang"/>
        </w:rPr>
        <w:t>how to define UE power class and represent the UE’s spherical coverage</w:t>
      </w:r>
      <w:r w:rsidRPr="001720F2">
        <w:rPr>
          <w:rFonts w:eastAsia="Batang"/>
        </w:rPr>
        <w:t xml:space="preserve"> has progressed over </w:t>
      </w:r>
      <w:r>
        <w:rPr>
          <w:rFonts w:eastAsia="Batang"/>
        </w:rPr>
        <w:t xml:space="preserve">several </w:t>
      </w:r>
      <w:r w:rsidRPr="001720F2">
        <w:rPr>
          <w:rFonts w:eastAsia="Batang"/>
        </w:rPr>
        <w:t>agreements.</w:t>
      </w:r>
    </w:p>
    <w:p w:rsidR="000918C5" w:rsidRDefault="000918C5" w:rsidP="000918C5">
      <w:pPr>
        <w:rPr>
          <w:rFonts w:eastAsia="Batang"/>
        </w:rPr>
      </w:pPr>
      <w:r>
        <w:rPr>
          <w:rFonts w:eastAsia="Batang"/>
        </w:rPr>
        <w:t xml:space="preserve">This paper </w:t>
      </w:r>
      <w:r w:rsidR="0068018D">
        <w:rPr>
          <w:rFonts w:eastAsia="Batang"/>
        </w:rPr>
        <w:t>focuse</w:t>
      </w:r>
      <w:r w:rsidR="007F7472">
        <w:rPr>
          <w:rFonts w:eastAsia="Batang"/>
        </w:rPr>
        <w:t>s</w:t>
      </w:r>
      <w:r w:rsidR="0068018D">
        <w:rPr>
          <w:rFonts w:eastAsia="Batang"/>
        </w:rPr>
        <w:t xml:space="preserve"> on</w:t>
      </w:r>
      <w:r>
        <w:rPr>
          <w:rFonts w:eastAsia="Batang"/>
        </w:rPr>
        <w:t xml:space="preserve"> </w:t>
      </w:r>
      <w:r w:rsidR="0068018D">
        <w:rPr>
          <w:rFonts w:eastAsia="Batang"/>
        </w:rPr>
        <w:t>summarizing the CDF contributions presented by companies</w:t>
      </w:r>
      <w:r>
        <w:rPr>
          <w:rFonts w:eastAsia="Batang"/>
        </w:rPr>
        <w:t xml:space="preserve"> </w:t>
      </w:r>
      <w:r w:rsidR="0068018D">
        <w:rPr>
          <w:rFonts w:eastAsia="Batang"/>
        </w:rPr>
        <w:t>in the prev</w:t>
      </w:r>
      <w:r w:rsidR="00602AE7">
        <w:rPr>
          <w:rFonts w:eastAsia="Batang"/>
        </w:rPr>
        <w:t xml:space="preserve">ious two meetings. </w:t>
      </w:r>
      <w:r w:rsidR="0068018D">
        <w:rPr>
          <w:rFonts w:eastAsia="Batang"/>
        </w:rPr>
        <w:t>The observed trends in the reported results help</w:t>
      </w:r>
      <w:r w:rsidR="00602AE7">
        <w:rPr>
          <w:rFonts w:eastAsia="Batang"/>
        </w:rPr>
        <w:t xml:space="preserve"> highlight the need to align on the framework and simulation assumptions used in CDF calculations</w:t>
      </w:r>
      <w:r>
        <w:rPr>
          <w:rFonts w:eastAsia="Batang"/>
        </w:rPr>
        <w:t>.</w:t>
      </w:r>
    </w:p>
    <w:p w:rsidR="0068018D" w:rsidRDefault="0068018D" w:rsidP="000918C5">
      <w:pPr>
        <w:rPr>
          <w:rFonts w:eastAsia="Batang"/>
        </w:rPr>
      </w:pPr>
    </w:p>
    <w:p w:rsidR="000918C5" w:rsidRDefault="000918C5" w:rsidP="000918C5">
      <w:pPr>
        <w:pStyle w:val="Heading1"/>
        <w:rPr>
          <w:rFonts w:eastAsia="Batang"/>
        </w:rPr>
      </w:pPr>
      <w:r>
        <w:rPr>
          <w:rFonts w:eastAsia="Batang"/>
        </w:rPr>
        <w:t>2</w:t>
      </w:r>
      <w:r>
        <w:rPr>
          <w:rFonts w:eastAsia="Batang"/>
        </w:rPr>
        <w:tab/>
        <w:t>Discussion</w:t>
      </w:r>
    </w:p>
    <w:p w:rsidR="000918C5" w:rsidRDefault="000918C5" w:rsidP="000918C5">
      <w:pPr>
        <w:pStyle w:val="Heading2"/>
        <w:rPr>
          <w:rFonts w:eastAsia="Batang"/>
        </w:rPr>
      </w:pPr>
      <w:r>
        <w:rPr>
          <w:rFonts w:eastAsia="Batang"/>
        </w:rPr>
        <w:t>2.1</w:t>
      </w:r>
      <w:r>
        <w:rPr>
          <w:rFonts w:eastAsia="Batang"/>
        </w:rPr>
        <w:tab/>
        <w:t>Background</w:t>
      </w:r>
    </w:p>
    <w:p w:rsidR="008A284C" w:rsidRDefault="008A284C" w:rsidP="008A284C">
      <w:pPr>
        <w:spacing w:before="240" w:after="0"/>
        <w:rPr>
          <w:rFonts w:eastAsia="Batang"/>
        </w:rPr>
      </w:pPr>
      <w:r>
        <w:rPr>
          <w:rFonts w:eastAsia="Batang"/>
        </w:rPr>
        <w:t xml:space="preserve">The existing RAN4 agreements on UE power class definition include the NR SI outcome in TR38.803 </w:t>
      </w:r>
      <w:r>
        <w:rPr>
          <w:rFonts w:eastAsia="Batang"/>
        </w:rPr>
        <w:fldChar w:fldCharType="begin"/>
      </w:r>
      <w:r>
        <w:rPr>
          <w:rFonts w:eastAsia="Batang"/>
        </w:rPr>
        <w:instrText xml:space="preserve"> REF _Ref485282685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the WF</w:t>
      </w:r>
      <w:r w:rsidR="00602AE7">
        <w:rPr>
          <w:rFonts w:eastAsia="Batang"/>
        </w:rPr>
        <w:t xml:space="preserve"> from </w:t>
      </w:r>
      <w:r>
        <w:rPr>
          <w:rFonts w:eastAsia="Batang"/>
        </w:rPr>
        <w:t>the WF from RAN4 #</w:t>
      </w:r>
      <w:r w:rsidRPr="002674E6">
        <w:rPr>
          <w:rFonts w:eastAsia="Batang"/>
        </w:rPr>
        <w:t>8</w:t>
      </w:r>
      <w:r>
        <w:rPr>
          <w:rFonts w:eastAsia="Batang"/>
        </w:rPr>
        <w:t>3 [5], and the WF from RAN4 #84 [6].</w:t>
      </w:r>
      <w:r w:rsidR="00602AE7">
        <w:rPr>
          <w:rFonts w:eastAsia="Batang"/>
        </w:rPr>
        <w:t xml:space="preserve"> The latter narrows down a three CDF percentile ranges.</w:t>
      </w:r>
    </w:p>
    <w:p w:rsidR="008A284C" w:rsidRDefault="008A284C" w:rsidP="008A284C">
      <w:pPr>
        <w:spacing w:after="0"/>
        <w:rPr>
          <w:rFonts w:eastAsia="Batang"/>
        </w:rPr>
      </w:pPr>
    </w:p>
    <w:p w:rsidR="008A284C" w:rsidRPr="002674E6" w:rsidRDefault="008A284C" w:rsidP="008A284C">
      <w:pPr>
        <w:rPr>
          <w:rFonts w:eastAsia="Batang"/>
        </w:rPr>
      </w:pPr>
      <w:r>
        <w:rPr>
          <w:rFonts w:eastAsia="Batang"/>
        </w:rPr>
        <w:t>From RAN4 #</w:t>
      </w:r>
      <w:r w:rsidRPr="000A17D5">
        <w:rPr>
          <w:rFonts w:eastAsia="Batang"/>
        </w:rPr>
        <w:t xml:space="preserve">83 </w:t>
      </w:r>
      <w:r w:rsidRPr="000A17D5">
        <w:rPr>
          <w:rFonts w:eastAsia="Batang"/>
        </w:rPr>
        <w:fldChar w:fldCharType="begin"/>
      </w:r>
      <w:r w:rsidRPr="000A17D5">
        <w:rPr>
          <w:rFonts w:eastAsia="Batang"/>
        </w:rPr>
        <w:instrText xml:space="preserve"> REF _Ref485283130 \r \h </w:instrText>
      </w:r>
      <w:r w:rsidRPr="000A17D5">
        <w:rPr>
          <w:rFonts w:eastAsia="Batang"/>
        </w:rPr>
      </w:r>
      <w:r w:rsidRPr="000A17D5">
        <w:rPr>
          <w:rFonts w:eastAsia="Batang"/>
        </w:rPr>
        <w:fldChar w:fldCharType="separate"/>
      </w:r>
      <w:r w:rsidRPr="000A17D5">
        <w:rPr>
          <w:rFonts w:eastAsia="Batang"/>
        </w:rPr>
        <w:t>[5]</w:t>
      </w:r>
      <w:r w:rsidRPr="000A17D5">
        <w:rPr>
          <w:rFonts w:eastAsia="Batang"/>
        </w:rPr>
        <w:fldChar w:fldCharType="end"/>
      </w:r>
      <w:r w:rsidRPr="000A17D5">
        <w:rPr>
          <w:rFonts w:eastAsia="Batang"/>
        </w:rPr>
        <w:t>:</w:t>
      </w:r>
    </w:p>
    <w:p w:rsidR="008A284C" w:rsidRPr="002674E6" w:rsidRDefault="008A284C" w:rsidP="008A284C">
      <w:pPr>
        <w:spacing w:after="0"/>
        <w:rPr>
          <w:rFonts w:eastAsia="Batang"/>
        </w:rPr>
      </w:pPr>
      <w:r w:rsidRPr="002674E6">
        <w:rPr>
          <w:rFonts w:eastAsia="Batang"/>
          <w:noProof/>
          <w:lang w:val="en-US" w:eastAsia="en-US"/>
        </w:rPr>
        <mc:AlternateContent>
          <mc:Choice Requires="wps">
            <w:drawing>
              <wp:inline distT="0" distB="0" distL="0" distR="0" wp14:anchorId="113A7917" wp14:editId="0B441AC3">
                <wp:extent cx="5924550" cy="889000"/>
                <wp:effectExtent l="5080" t="13970" r="1397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Both TRP and EIRP are considered for power class definition</w:t>
                            </w:r>
                          </w:p>
                          <w:p w:rsidR="00F65019" w:rsidRPr="00674829"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EIRP can be peak, boresight or %-tile or minimum value</w:t>
                            </w:r>
                          </w:p>
                          <w:p w:rsidR="00F65019" w:rsidRPr="00674829"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 xml:space="preserve">TRP can be max or min and max </w:t>
                            </w:r>
                          </w:p>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Max allowed EIRP for all UEs is 43 dBm for regulatory reasons</w:t>
                            </w:r>
                          </w:p>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Companies are encouraged to provide input</w:t>
                            </w:r>
                          </w:p>
                          <w:p w:rsidR="00F65019" w:rsidRPr="00CE5AC4"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Feasible definition and values for spherical coverage</w:t>
                            </w:r>
                          </w:p>
                        </w:txbxContent>
                      </wps:txbx>
                      <wps:bodyPr rot="0" vert="horz" wrap="square" lIns="91440" tIns="45720" rIns="91440" bIns="45720" anchor="t" anchorCtr="0" upright="1">
                        <a:spAutoFit/>
                      </wps:bodyPr>
                    </wps:wsp>
                  </a:graphicData>
                </a:graphic>
              </wp:inline>
            </w:drawing>
          </mc:Choice>
          <mc:Fallback>
            <w:pict>
              <v:shapetype w14:anchorId="113A7917" id="_x0000_t202" coordsize="21600,21600" o:spt="202" path="m,l,21600r21600,l21600,xe">
                <v:stroke joinstyle="miter"/>
                <v:path gradientshapeok="t" o:connecttype="rect"/>
              </v:shapetype>
              <v:shape id="Text Box 1" o:spid="_x0000_s1026"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">
                <v:textbox style="mso-fit-shape-to-text:t">
                  <w:txbxContent>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Both TRP and EIRP are considered for power class definition</w:t>
                      </w:r>
                    </w:p>
                    <w:p w:rsidR="00F65019" w:rsidRPr="00674829"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EIRP can be peak, boresight or %-tile or minimum value</w:t>
                      </w:r>
                    </w:p>
                    <w:p w:rsidR="00F65019" w:rsidRPr="00674829"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 xml:space="preserve">TRP can be max or min and max </w:t>
                      </w:r>
                    </w:p>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Max allowed EIRP for all UEs is 43 dBm for regulatory reasons</w:t>
                      </w:r>
                    </w:p>
                    <w:p w:rsidR="00F65019" w:rsidRPr="00674829" w:rsidRDefault="00F65019" w:rsidP="008A284C">
                      <w:pPr>
                        <w:numPr>
                          <w:ilvl w:val="0"/>
                          <w:numId w:val="4"/>
                        </w:numPr>
                        <w:tabs>
                          <w:tab w:val="num" w:pos="720"/>
                        </w:tabs>
                        <w:overflowPunct/>
                        <w:autoSpaceDE/>
                        <w:autoSpaceDN/>
                        <w:adjustRightInd/>
                        <w:spacing w:after="0" w:line="259" w:lineRule="auto"/>
                        <w:textAlignment w:val="auto"/>
                        <w:rPr>
                          <w:lang w:val="en-US"/>
                        </w:rPr>
                      </w:pPr>
                      <w:r w:rsidRPr="00674829">
                        <w:rPr>
                          <w:lang w:val="en-US"/>
                        </w:rPr>
                        <w:t>Companies are encouraged to provide input</w:t>
                      </w:r>
                    </w:p>
                    <w:p w:rsidR="00F65019" w:rsidRPr="00CE5AC4" w:rsidRDefault="00F65019" w:rsidP="008A284C">
                      <w:pPr>
                        <w:numPr>
                          <w:ilvl w:val="1"/>
                          <w:numId w:val="4"/>
                        </w:numPr>
                        <w:tabs>
                          <w:tab w:val="num" w:pos="1440"/>
                        </w:tabs>
                        <w:overflowPunct/>
                        <w:autoSpaceDE/>
                        <w:autoSpaceDN/>
                        <w:adjustRightInd/>
                        <w:spacing w:after="0" w:line="259" w:lineRule="auto"/>
                        <w:textAlignment w:val="auto"/>
                        <w:rPr>
                          <w:lang w:val="en-US"/>
                        </w:rPr>
                      </w:pPr>
                      <w:r w:rsidRPr="00674829">
                        <w:rPr>
                          <w:lang w:val="en-US"/>
                        </w:rPr>
                        <w:t>Feasible definition and values for spherical coverage</w:t>
                      </w:r>
                    </w:p>
                  </w:txbxContent>
                </v:textbox>
                <w10:anchorlock/>
              </v:shape>
            </w:pict>
          </mc:Fallback>
        </mc:AlternateContent>
      </w:r>
    </w:p>
    <w:p w:rsidR="008A284C" w:rsidRDefault="008A284C" w:rsidP="008A284C">
      <w:pPr>
        <w:spacing w:after="0"/>
        <w:rPr>
          <w:rFonts w:eastAsia="Batang"/>
        </w:rPr>
      </w:pPr>
    </w:p>
    <w:p w:rsidR="008A284C" w:rsidRPr="002674E6" w:rsidRDefault="008A284C" w:rsidP="008A284C">
      <w:pPr>
        <w:rPr>
          <w:rFonts w:eastAsia="Batang"/>
        </w:rPr>
      </w:pPr>
      <w:r>
        <w:rPr>
          <w:rFonts w:eastAsia="Batang"/>
        </w:rPr>
        <w:t>From RAN4 #</w:t>
      </w:r>
      <w:r w:rsidRPr="000A17D5">
        <w:rPr>
          <w:rFonts w:eastAsia="Batang"/>
        </w:rPr>
        <w:t xml:space="preserve">84 </w:t>
      </w:r>
      <w:r w:rsidRPr="000A17D5">
        <w:rPr>
          <w:rFonts w:eastAsia="Batang"/>
        </w:rPr>
        <w:fldChar w:fldCharType="begin"/>
      </w:r>
      <w:r w:rsidRPr="000A17D5">
        <w:rPr>
          <w:rFonts w:eastAsia="Batang"/>
        </w:rPr>
        <w:instrText xml:space="preserve"> REF _Ref485283130 \r \h </w:instrText>
      </w:r>
      <w:r w:rsidRPr="000A17D5">
        <w:rPr>
          <w:rFonts w:eastAsia="Batang"/>
        </w:rPr>
      </w:r>
      <w:r w:rsidRPr="000A17D5">
        <w:rPr>
          <w:rFonts w:eastAsia="Batang"/>
        </w:rPr>
        <w:fldChar w:fldCharType="separate"/>
      </w:r>
      <w:r w:rsidRPr="000A17D5">
        <w:rPr>
          <w:rFonts w:eastAsia="Batang"/>
        </w:rPr>
        <w:t>[6]</w:t>
      </w:r>
      <w:r w:rsidRPr="000A17D5">
        <w:rPr>
          <w:rFonts w:eastAsia="Batang"/>
        </w:rPr>
        <w:fldChar w:fldCharType="end"/>
      </w:r>
      <w:r w:rsidRPr="000A17D5">
        <w:rPr>
          <w:rFonts w:eastAsia="Batang"/>
        </w:rPr>
        <w:t>:</w:t>
      </w:r>
    </w:p>
    <w:p w:rsidR="008A284C" w:rsidRDefault="008A284C" w:rsidP="008A284C">
      <w:pPr>
        <w:rPr>
          <w:rFonts w:eastAsia="Batang"/>
        </w:rPr>
      </w:pPr>
      <w:r w:rsidRPr="002674E6">
        <w:rPr>
          <w:rFonts w:eastAsia="Batang"/>
          <w:noProof/>
          <w:lang w:val="en-US" w:eastAsia="en-US"/>
        </w:rPr>
        <mc:AlternateContent>
          <mc:Choice Requires="wps">
            <w:drawing>
              <wp:inline distT="0" distB="0" distL="0" distR="0" wp14:anchorId="4EC34F2E" wp14:editId="35C17539">
                <wp:extent cx="5924550" cy="889000"/>
                <wp:effectExtent l="5080" t="13970" r="13970" b="1143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rsidR="00F65019" w:rsidRPr="006C635D" w:rsidRDefault="00F65019" w:rsidP="008A284C">
                            <w:pPr>
                              <w:overflowPunct/>
                              <w:autoSpaceDE/>
                              <w:autoSpaceDN/>
                              <w:adjustRightInd/>
                              <w:spacing w:after="0" w:line="259" w:lineRule="auto"/>
                              <w:textAlignment w:val="auto"/>
                            </w:pPr>
                            <w:r w:rsidRPr="003C3B46">
                              <w:t>A</w:t>
                            </w:r>
                            <w:r w:rsidRPr="003C3B46">
                              <w:rPr>
                                <w:rFonts w:hint="eastAsia"/>
                              </w:rPr>
                              <w:t>greement:</w:t>
                            </w:r>
                            <w:r w:rsidRPr="006C635D">
                              <w:t xml:space="preserve"> </w:t>
                            </w:r>
                          </w:p>
                          <w:p w:rsidR="00F65019" w:rsidRPr="006C635D" w:rsidRDefault="00F65019" w:rsidP="008A284C">
                            <w:pPr>
                              <w:overflowPunct/>
                              <w:autoSpaceDE/>
                              <w:autoSpaceDN/>
                              <w:adjustRightInd/>
                              <w:spacing w:after="0" w:line="259" w:lineRule="auto"/>
                              <w:textAlignment w:val="auto"/>
                              <w:rPr>
                                <w:lang w:val="en-US"/>
                              </w:rPr>
                            </w:pPr>
                            <w:r>
                              <w:rPr>
                                <w:lang w:val="en-US"/>
                              </w:rPr>
                              <w:t>To agree on Power class definition, the following candidates are to be considered</w:t>
                            </w:r>
                          </w:p>
                          <w:p w:rsidR="00F65019" w:rsidRPr="006C635D" w:rsidRDefault="00F65019" w:rsidP="008A284C">
                            <w:pPr>
                              <w:numPr>
                                <w:ilvl w:val="0"/>
                                <w:numId w:val="4"/>
                              </w:numPr>
                              <w:overflowPunct/>
                              <w:autoSpaceDE/>
                              <w:autoSpaceDN/>
                              <w:adjustRightInd/>
                              <w:spacing w:after="0" w:line="259" w:lineRule="auto"/>
                              <w:ind w:leftChars="100" w:left="560"/>
                              <w:textAlignment w:val="auto"/>
                              <w:rPr>
                                <w:lang w:val="en-US"/>
                              </w:rPr>
                            </w:pPr>
                            <w:r>
                              <w:rPr>
                                <w:lang w:val="en-US"/>
                              </w:rPr>
                              <w:t>Peak EIRP over sphere with minus tolerance</w:t>
                            </w:r>
                          </w:p>
                          <w:p w:rsidR="00F65019" w:rsidRDefault="00F65019" w:rsidP="008A284C">
                            <w:pPr>
                              <w:numPr>
                                <w:ilvl w:val="0"/>
                                <w:numId w:val="4"/>
                              </w:numPr>
                              <w:overflowPunct/>
                              <w:autoSpaceDE/>
                              <w:autoSpaceDN/>
                              <w:adjustRightInd/>
                              <w:spacing w:after="0" w:line="259" w:lineRule="auto"/>
                              <w:ind w:leftChars="100" w:left="560"/>
                              <w:textAlignment w:val="auto"/>
                              <w:rPr>
                                <w:lang w:val="en-US"/>
                              </w:rPr>
                            </w:pPr>
                            <w:r>
                              <w:rPr>
                                <w:lang w:val="en-US"/>
                              </w:rPr>
                              <w:t>EIRP at CDF percentiles with minus tolerance</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[5-20]%</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[50]%</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[80-90]%</w:t>
                            </w:r>
                          </w:p>
                        </w:txbxContent>
                      </wps:txbx>
                      <wps:bodyPr rot="0" vert="horz" wrap="square" lIns="91440" tIns="45720" rIns="91440" bIns="45720" anchor="t" anchorCtr="0" upright="1">
                        <a:spAutoFit/>
                      </wps:bodyPr>
                    </wps:wsp>
                  </a:graphicData>
                </a:graphic>
              </wp:inline>
            </w:drawing>
          </mc:Choice>
          <mc:Fallback>
            <w:pict>
              <v:shape w14:anchorId="4EC34F2E" id="Text Box 9" o:spid="_x0000_s1027"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">
                <v:textbox style="mso-fit-shape-to-text:t">
                  <w:txbxContent>
                    <w:p w:rsidR="00F65019" w:rsidRPr="006C635D" w:rsidRDefault="00F65019" w:rsidP="008A284C">
                      <w:pPr>
                        <w:overflowPunct/>
                        <w:autoSpaceDE/>
                        <w:autoSpaceDN/>
                        <w:adjustRightInd/>
                        <w:spacing w:after="0" w:line="259" w:lineRule="auto"/>
                        <w:textAlignment w:val="auto"/>
                      </w:pPr>
                      <w:r w:rsidRPr="003C3B46">
                        <w:t>A</w:t>
                      </w:r>
                      <w:r w:rsidRPr="003C3B46">
                        <w:rPr>
                          <w:rFonts w:hint="eastAsia"/>
                        </w:rPr>
                        <w:t>greement:</w:t>
                      </w:r>
                      <w:r w:rsidRPr="006C635D">
                        <w:t xml:space="preserve"> </w:t>
                      </w:r>
                    </w:p>
                    <w:p w:rsidR="00F65019" w:rsidRPr="006C635D" w:rsidRDefault="00F65019" w:rsidP="008A284C">
                      <w:pPr>
                        <w:overflowPunct/>
                        <w:autoSpaceDE/>
                        <w:autoSpaceDN/>
                        <w:adjustRightInd/>
                        <w:spacing w:after="0" w:line="259" w:lineRule="auto"/>
                        <w:textAlignment w:val="auto"/>
                        <w:rPr>
                          <w:lang w:val="en-US"/>
                        </w:rPr>
                      </w:pPr>
                      <w:r>
                        <w:rPr>
                          <w:lang w:val="en-US"/>
                        </w:rPr>
                        <w:t>To agree on Power class definition, the following candidates are to be considered</w:t>
                      </w:r>
                    </w:p>
                    <w:p w:rsidR="00F65019" w:rsidRPr="006C635D" w:rsidRDefault="00F65019" w:rsidP="008A284C">
                      <w:pPr>
                        <w:numPr>
                          <w:ilvl w:val="0"/>
                          <w:numId w:val="4"/>
                        </w:numPr>
                        <w:overflowPunct/>
                        <w:autoSpaceDE/>
                        <w:autoSpaceDN/>
                        <w:adjustRightInd/>
                        <w:spacing w:after="0" w:line="259" w:lineRule="auto"/>
                        <w:ind w:leftChars="100" w:left="560"/>
                        <w:textAlignment w:val="auto"/>
                        <w:rPr>
                          <w:lang w:val="en-US"/>
                        </w:rPr>
                      </w:pPr>
                      <w:r>
                        <w:rPr>
                          <w:lang w:val="en-US"/>
                        </w:rPr>
                        <w:t>Peak EIRP over sphere with minus tolerance</w:t>
                      </w:r>
                    </w:p>
                    <w:p w:rsidR="00F65019" w:rsidRDefault="00F65019" w:rsidP="008A284C">
                      <w:pPr>
                        <w:numPr>
                          <w:ilvl w:val="0"/>
                          <w:numId w:val="4"/>
                        </w:numPr>
                        <w:overflowPunct/>
                        <w:autoSpaceDE/>
                        <w:autoSpaceDN/>
                        <w:adjustRightInd/>
                        <w:spacing w:after="0" w:line="259" w:lineRule="auto"/>
                        <w:ind w:leftChars="100" w:left="560"/>
                        <w:textAlignment w:val="auto"/>
                        <w:rPr>
                          <w:lang w:val="en-US"/>
                        </w:rPr>
                      </w:pPr>
                      <w:r>
                        <w:rPr>
                          <w:lang w:val="en-US"/>
                        </w:rPr>
                        <w:t>EIRP at CDF percentiles with minus tolerance</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[5-20]%</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[50]%</w:t>
                      </w:r>
                    </w:p>
                    <w:p w:rsidR="00F65019" w:rsidRDefault="00F65019" w:rsidP="008A284C">
                      <w:pPr>
                        <w:numPr>
                          <w:ilvl w:val="1"/>
                          <w:numId w:val="4"/>
                        </w:numPr>
                        <w:overflowPunct/>
                        <w:autoSpaceDE/>
                        <w:autoSpaceDN/>
                        <w:adjustRightInd/>
                        <w:spacing w:after="0" w:line="259" w:lineRule="auto"/>
                        <w:textAlignment w:val="auto"/>
                        <w:rPr>
                          <w:lang w:val="en-US"/>
                        </w:rPr>
                      </w:pPr>
                      <w:r>
                        <w:rPr>
                          <w:lang w:val="en-US"/>
                        </w:rPr>
                        <w:t>[80-90]%</w:t>
                      </w:r>
                    </w:p>
                  </w:txbxContent>
                </v:textbox>
                <w10:anchorlock/>
              </v:shape>
            </w:pict>
          </mc:Fallback>
        </mc:AlternateContent>
      </w:r>
    </w:p>
    <w:p w:rsidR="008A284C" w:rsidRDefault="008A284C" w:rsidP="008A284C">
      <w:pPr>
        <w:spacing w:after="0"/>
        <w:rPr>
          <w:rFonts w:eastAsia="Batang"/>
        </w:rPr>
      </w:pPr>
    </w:p>
    <w:p w:rsidR="0068018D" w:rsidRDefault="0068018D" w:rsidP="0068018D">
      <w:pPr>
        <w:rPr>
          <w:rFonts w:eastAsia="Batang"/>
        </w:rPr>
      </w:pPr>
      <w:r>
        <w:rPr>
          <w:rFonts w:eastAsia="Batang"/>
        </w:rPr>
        <w:t>In last month’s RAN4 AH #3 meeting [</w:t>
      </w:r>
      <w:r w:rsidR="00602AE7">
        <w:rPr>
          <w:rFonts w:eastAsia="Batang"/>
        </w:rPr>
        <w:t>7</w:t>
      </w:r>
      <w:r>
        <w:rPr>
          <w:rFonts w:eastAsia="Batang"/>
        </w:rPr>
        <w:t>], a way forward for power class requirements for EIRP and spherical coverage was approved. Below are the main points</w:t>
      </w:r>
      <w:r w:rsidR="00B429CD">
        <w:rPr>
          <w:rFonts w:eastAsia="Batang"/>
        </w:rPr>
        <w:t xml:space="preserve"> on spherical coverage</w:t>
      </w:r>
      <w:r>
        <w:rPr>
          <w:rFonts w:eastAsia="Batang"/>
        </w:rPr>
        <w:t>.</w:t>
      </w:r>
    </w:p>
    <w:p w:rsidR="00046DFF" w:rsidRDefault="00046DFF" w:rsidP="0068018D">
      <w:pPr>
        <w:rPr>
          <w:rFonts w:eastAsia="Batang"/>
        </w:rPr>
      </w:pPr>
    </w:p>
    <w:p w:rsidR="00B429CD" w:rsidRDefault="00B429CD" w:rsidP="00600C0C">
      <w:pPr>
        <w:jc w:val="center"/>
        <w:rPr>
          <w:rFonts w:eastAsia="Batang"/>
        </w:rPr>
      </w:pPr>
      <w:r>
        <w:rPr>
          <w:rFonts w:eastAsia="Batang"/>
          <w:noProof/>
          <w:lang w:val="en-US" w:eastAsia="en-US"/>
        </w:rPr>
        <w:lastRenderedPageBreak/>
        <w:drawing>
          <wp:inline distT="0" distB="0" distL="0" distR="0" wp14:anchorId="68629D13" wp14:editId="3BF38BCE">
            <wp:extent cx="4773168" cy="158191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73168" cy="1581912"/>
                    </a:xfrm>
                    <a:prstGeom prst="rect">
                      <a:avLst/>
                    </a:prstGeom>
                    <a:noFill/>
                    <a:ln>
                      <a:noFill/>
                    </a:ln>
                  </pic:spPr>
                </pic:pic>
              </a:graphicData>
            </a:graphic>
          </wp:inline>
        </w:drawing>
      </w:r>
    </w:p>
    <w:p w:rsidR="00B429CD" w:rsidRDefault="00B429CD" w:rsidP="008A284C">
      <w:pPr>
        <w:spacing w:before="240"/>
        <w:rPr>
          <w:rFonts w:eastAsia="Batang"/>
        </w:rPr>
      </w:pPr>
      <w:r>
        <w:rPr>
          <w:rFonts w:eastAsia="Batang"/>
        </w:rPr>
        <w:t>As stipulated above, more aspects of real</w:t>
      </w:r>
      <w:r w:rsidR="008A284C">
        <w:rPr>
          <w:rFonts w:eastAsia="Batang"/>
        </w:rPr>
        <w:t>-product</w:t>
      </w:r>
      <w:r>
        <w:rPr>
          <w:rFonts w:eastAsia="Batang"/>
        </w:rPr>
        <w:t xml:space="preserve"> implementations need to be included in simulation analysis. These aspects significantly impact the attained EIRP results, and thus should be agreed on as framework </w:t>
      </w:r>
      <w:r w:rsidR="00602AE7">
        <w:rPr>
          <w:rFonts w:eastAsia="Batang"/>
        </w:rPr>
        <w:t>for</w:t>
      </w:r>
      <w:r>
        <w:rPr>
          <w:rFonts w:eastAsia="Batang"/>
        </w:rPr>
        <w:t xml:space="preserve"> CDF calculations. We will discuss a summary of the reported CDF results and their specific </w:t>
      </w:r>
      <w:r w:rsidR="008A284C">
        <w:rPr>
          <w:rFonts w:eastAsia="Batang"/>
        </w:rPr>
        <w:t>assumptions</w:t>
      </w:r>
      <w:r>
        <w:rPr>
          <w:rFonts w:eastAsia="Batang"/>
        </w:rPr>
        <w:t>, in hopes to align</w:t>
      </w:r>
      <w:r w:rsidR="008A284C">
        <w:rPr>
          <w:rFonts w:eastAsia="Batang"/>
        </w:rPr>
        <w:t xml:space="preserve"> these results across companies. This</w:t>
      </w:r>
      <w:r w:rsidR="00046DFF">
        <w:rPr>
          <w:rFonts w:eastAsia="Batang"/>
        </w:rPr>
        <w:t xml:space="preserve"> is needed before any </w:t>
      </w:r>
      <w:r w:rsidR="008A284C">
        <w:rPr>
          <w:rFonts w:eastAsia="Batang"/>
        </w:rPr>
        <w:t xml:space="preserve">agreements </w:t>
      </w:r>
      <w:r w:rsidR="00046DFF">
        <w:rPr>
          <w:rFonts w:eastAsia="Batang"/>
        </w:rPr>
        <w:t>on EIRP mask and percentile points can be made</w:t>
      </w:r>
      <w:r w:rsidR="008A284C">
        <w:rPr>
          <w:rFonts w:eastAsia="Batang"/>
        </w:rPr>
        <w:t>.</w:t>
      </w:r>
    </w:p>
    <w:p w:rsidR="000918C5" w:rsidRPr="00046DFF" w:rsidRDefault="000918C5" w:rsidP="00C03CEB">
      <w:pPr>
        <w:spacing w:after="0"/>
        <w:rPr>
          <w:rFonts w:eastAsia="Batang"/>
          <w:sz w:val="12"/>
        </w:rPr>
      </w:pPr>
    </w:p>
    <w:p w:rsidR="00351A82" w:rsidRDefault="00351A82" w:rsidP="00351A82">
      <w:pPr>
        <w:pStyle w:val="Heading2"/>
        <w:rPr>
          <w:rFonts w:eastAsia="Batang"/>
        </w:rPr>
      </w:pPr>
      <w:r>
        <w:rPr>
          <w:rFonts w:eastAsia="Batang"/>
        </w:rPr>
        <w:t>2.</w:t>
      </w:r>
      <w:r w:rsidR="003D0E8F">
        <w:rPr>
          <w:rFonts w:eastAsia="Batang"/>
        </w:rPr>
        <w:t>2</w:t>
      </w:r>
      <w:r>
        <w:rPr>
          <w:rFonts w:eastAsia="Batang"/>
        </w:rPr>
        <w:tab/>
      </w:r>
      <w:r w:rsidR="00EB59BB">
        <w:rPr>
          <w:rFonts w:eastAsia="Batang"/>
        </w:rPr>
        <w:t xml:space="preserve">Survey of previously </w:t>
      </w:r>
      <w:r w:rsidR="00D7349E">
        <w:rPr>
          <w:rFonts w:eastAsia="Batang"/>
        </w:rPr>
        <w:t xml:space="preserve">presented </w:t>
      </w:r>
      <w:r w:rsidR="00600C0C">
        <w:rPr>
          <w:rFonts w:eastAsia="Batang"/>
        </w:rPr>
        <w:t>res</w:t>
      </w:r>
      <w:r w:rsidR="00EB59BB">
        <w:rPr>
          <w:rFonts w:eastAsia="Batang"/>
        </w:rPr>
        <w:t>ults</w:t>
      </w:r>
    </w:p>
    <w:p w:rsidR="003C3B46" w:rsidRDefault="00C51C96" w:rsidP="00162DBD">
      <w:pPr>
        <w:spacing w:after="0"/>
        <w:rPr>
          <w:lang w:val="en-US" w:eastAsia="zh-CN"/>
        </w:rPr>
      </w:pPr>
      <w:r>
        <w:rPr>
          <w:lang w:val="en-US" w:eastAsia="zh-CN"/>
        </w:rPr>
        <w:t>Several parameters are relevant to CDF simulations.</w:t>
      </w:r>
      <w:r w:rsidR="000918C5" w:rsidRPr="003D10F0">
        <w:rPr>
          <w:rFonts w:eastAsia="Batang"/>
        </w:rPr>
        <w:t xml:space="preserve"> </w:t>
      </w:r>
      <w:r>
        <w:rPr>
          <w:rFonts w:eastAsia="Batang"/>
        </w:rPr>
        <w:t>Environment conditions, such as enclosing material, affect final antenna performance. The number of arrays in the UE and their specific placement is also important</w:t>
      </w:r>
      <w:r w:rsidR="000918C5" w:rsidRPr="003D10F0">
        <w:rPr>
          <w:rFonts w:eastAsia="Batang"/>
        </w:rPr>
        <w:t xml:space="preserve">. </w:t>
      </w:r>
      <w:r>
        <w:rPr>
          <w:rFonts w:eastAsia="Batang"/>
        </w:rPr>
        <w:t>The table below summarizes the results and simulation assumptions of contr</w:t>
      </w:r>
      <w:r w:rsidR="00B44DF6">
        <w:rPr>
          <w:rFonts w:eastAsia="Batang"/>
        </w:rPr>
        <w:t>ibutions presented in RAN4 #84 [</w:t>
      </w:r>
      <w:r w:rsidR="00D623CF">
        <w:rPr>
          <w:rFonts w:eastAsia="Batang"/>
        </w:rPr>
        <w:t>8</w:t>
      </w:r>
      <w:r w:rsidR="00B44DF6">
        <w:rPr>
          <w:rFonts w:eastAsia="Batang"/>
        </w:rPr>
        <w:t>-</w:t>
      </w:r>
      <w:r w:rsidR="00D623CF">
        <w:rPr>
          <w:rFonts w:eastAsia="Batang"/>
        </w:rPr>
        <w:t>14</w:t>
      </w:r>
      <w:r w:rsidR="00B44DF6">
        <w:rPr>
          <w:rFonts w:eastAsia="Batang"/>
        </w:rPr>
        <w:t>]</w:t>
      </w:r>
      <w:r>
        <w:rPr>
          <w:rFonts w:eastAsia="Batang"/>
        </w:rPr>
        <w:t>.</w:t>
      </w:r>
      <w:r w:rsidR="003C3B46">
        <w:rPr>
          <w:lang w:val="en-US" w:eastAsia="zh-CN"/>
        </w:rPr>
        <w:t xml:space="preserve"> </w:t>
      </w:r>
    </w:p>
    <w:p w:rsidR="00A2741E" w:rsidRDefault="00A2741E" w:rsidP="00162DBD">
      <w:pPr>
        <w:spacing w:after="0"/>
        <w:rPr>
          <w:lang w:val="en-US" w:eastAsia="zh-CN"/>
        </w:rPr>
      </w:pPr>
    </w:p>
    <w:p w:rsidR="00A2741E" w:rsidRDefault="00A2741E" w:rsidP="00162DBD">
      <w:pPr>
        <w:spacing w:after="0"/>
        <w:rPr>
          <w:lang w:val="en-US" w:eastAsia="zh-CN"/>
        </w:rPr>
      </w:pPr>
    </w:p>
    <w:p w:rsidR="00EB59BB" w:rsidRDefault="00EB59BB" w:rsidP="003C182B">
      <w:pPr>
        <w:spacing w:after="240"/>
        <w:jc w:val="center"/>
        <w:rPr>
          <w:lang w:val="en-US" w:eastAsia="zh-CN"/>
        </w:rPr>
      </w:pPr>
      <w:r w:rsidRPr="000457D3">
        <w:rPr>
          <w:b/>
        </w:rPr>
        <w:t xml:space="preserve">Table </w:t>
      </w:r>
      <w:r>
        <w:rPr>
          <w:b/>
        </w:rPr>
        <w:t>1</w:t>
      </w:r>
      <w:r w:rsidRPr="000457D3">
        <w:rPr>
          <w:b/>
        </w:rPr>
        <w:t xml:space="preserve">: </w:t>
      </w:r>
      <w:r>
        <w:rPr>
          <w:b/>
        </w:rPr>
        <w:t>Reported results for RAN4 #84</w:t>
      </w:r>
    </w:p>
    <w:p w:rsidR="00A2741E" w:rsidRPr="003C182B" w:rsidRDefault="00A2741E" w:rsidP="00162DBD">
      <w:pPr>
        <w:spacing w:after="0"/>
        <w:rPr>
          <w:sz w:val="14"/>
          <w:lang w:val="en-US" w:eastAsia="zh-CN"/>
        </w:rPr>
      </w:pPr>
    </w:p>
    <w:p w:rsidR="008E39CA" w:rsidRPr="003C182B" w:rsidRDefault="008E39CA" w:rsidP="00162DBD">
      <w:pPr>
        <w:spacing w:after="0"/>
        <w:rPr>
          <w:sz w:val="14"/>
          <w:lang w:val="en-US" w:eastAsia="zh-CN"/>
        </w:rPr>
      </w:pPr>
    </w:p>
    <w:tbl>
      <w:tblPr>
        <w:tblStyle w:val="TableGrid"/>
        <w:tblpPr w:leftFromText="180" w:rightFromText="180" w:vertAnchor="text" w:horzAnchor="margin" w:tblpXSpec="center" w:tblpY="-475"/>
        <w:tblOverlap w:val="never"/>
        <w:tblW w:w="10980" w:type="dxa"/>
        <w:tblLook w:val="04A0" w:firstRow="1" w:lastRow="0" w:firstColumn="1" w:lastColumn="0" w:noHBand="0" w:noVBand="1"/>
      </w:tblPr>
      <w:tblGrid>
        <w:gridCol w:w="1565"/>
        <w:gridCol w:w="1119"/>
        <w:gridCol w:w="1290"/>
        <w:gridCol w:w="1378"/>
        <w:gridCol w:w="1392"/>
        <w:gridCol w:w="1356"/>
        <w:gridCol w:w="810"/>
        <w:gridCol w:w="849"/>
        <w:gridCol w:w="1221"/>
      </w:tblGrid>
      <w:tr w:rsidR="00A80A1D" w:rsidTr="00384E7F">
        <w:tc>
          <w:tcPr>
            <w:tcW w:w="1565" w:type="dxa"/>
            <w:tcBorders>
              <w:top w:val="nil"/>
              <w:left w:val="nil"/>
              <w:right w:val="nil"/>
            </w:tcBorders>
            <w:vAlign w:val="center"/>
          </w:tcPr>
          <w:p w:rsidR="00A80A1D" w:rsidRPr="009B6628" w:rsidRDefault="00A80A1D" w:rsidP="00EB59BB">
            <w:pPr>
              <w:spacing w:after="0"/>
              <w:jc w:val="center"/>
              <w:rPr>
                <w:rFonts w:ascii="Arial" w:hAnsi="Arial" w:cs="Arial"/>
                <w:sz w:val="18"/>
                <w:szCs w:val="18"/>
                <w:lang w:val="en-US" w:eastAsia="en-US"/>
              </w:rPr>
            </w:pPr>
          </w:p>
        </w:tc>
        <w:tc>
          <w:tcPr>
            <w:tcW w:w="9415" w:type="dxa"/>
            <w:gridSpan w:val="8"/>
            <w:tcBorders>
              <w:top w:val="double" w:sz="12" w:space="0" w:color="auto"/>
              <w:left w:val="nil"/>
              <w:right w:val="nil"/>
            </w:tcBorders>
          </w:tcPr>
          <w:p w:rsidR="00A80A1D" w:rsidRPr="009B6628" w:rsidRDefault="00A80A1D" w:rsidP="00EB59BB">
            <w:pPr>
              <w:spacing w:after="0"/>
              <w:jc w:val="center"/>
              <w:rPr>
                <w:rFonts w:ascii="Arial" w:hAnsi="Arial" w:cs="Arial"/>
                <w:b/>
                <w:sz w:val="18"/>
                <w:szCs w:val="18"/>
                <w:lang w:val="en-US" w:eastAsia="en-US"/>
              </w:rPr>
            </w:pPr>
            <w:r w:rsidRPr="009B6628">
              <w:rPr>
                <w:rFonts w:ascii="Arial" w:hAnsi="Arial" w:cs="Arial"/>
                <w:b/>
                <w:sz w:val="18"/>
                <w:szCs w:val="18"/>
                <w:lang w:val="en-US" w:eastAsia="en-US"/>
              </w:rPr>
              <w:t>Source</w:t>
            </w:r>
          </w:p>
        </w:tc>
      </w:tr>
      <w:tr w:rsidR="00A97A18" w:rsidTr="00384E7F">
        <w:trPr>
          <w:trHeight w:val="288"/>
        </w:trPr>
        <w:tc>
          <w:tcPr>
            <w:tcW w:w="1565" w:type="dxa"/>
            <w:tcBorders>
              <w:left w:val="nil"/>
            </w:tcBorders>
            <w:vAlign w:val="center"/>
          </w:tcPr>
          <w:p w:rsidR="00A80A1D" w:rsidRPr="009B6628" w:rsidRDefault="00A80A1D" w:rsidP="00A80A1D">
            <w:pPr>
              <w:spacing w:after="0"/>
              <w:rPr>
                <w:rFonts w:ascii="Arial" w:hAnsi="Arial" w:cs="Arial"/>
                <w:b/>
                <w:sz w:val="18"/>
                <w:szCs w:val="18"/>
                <w:lang w:val="en-US" w:eastAsia="en-US"/>
              </w:rPr>
            </w:pPr>
            <w:r w:rsidRPr="009B6628">
              <w:rPr>
                <w:rFonts w:ascii="Arial" w:hAnsi="Arial" w:cs="Arial"/>
                <w:b/>
                <w:sz w:val="18"/>
                <w:szCs w:val="18"/>
                <w:lang w:val="en-US" w:eastAsia="en-US"/>
              </w:rPr>
              <w:t>Parameter</w:t>
            </w:r>
          </w:p>
        </w:tc>
        <w:tc>
          <w:tcPr>
            <w:tcW w:w="1119" w:type="dxa"/>
            <w:vAlign w:val="center"/>
          </w:tcPr>
          <w:p w:rsidR="00F43F1E" w:rsidRPr="00384E7F" w:rsidRDefault="00A80A1D" w:rsidP="00A80A1D">
            <w:pPr>
              <w:spacing w:after="0"/>
              <w:jc w:val="center"/>
              <w:rPr>
                <w:rFonts w:ascii="Arial" w:hAnsi="Arial" w:cs="Arial"/>
                <w:sz w:val="18"/>
                <w:szCs w:val="18"/>
                <w:lang w:val="en-US" w:eastAsia="en-US"/>
              </w:rPr>
            </w:pPr>
            <w:r w:rsidRPr="009B6628">
              <w:rPr>
                <w:rFonts w:ascii="Arial" w:hAnsi="Arial" w:cs="Arial"/>
                <w:sz w:val="18"/>
                <w:szCs w:val="18"/>
                <w:lang w:val="en-US" w:eastAsia="en-US"/>
              </w:rPr>
              <w:t>Intel</w:t>
            </w:r>
          </w:p>
        </w:tc>
        <w:tc>
          <w:tcPr>
            <w:tcW w:w="1290" w:type="dxa"/>
            <w:vAlign w:val="center"/>
          </w:tcPr>
          <w:p w:rsidR="00F43F1E" w:rsidRPr="00384E7F" w:rsidRDefault="00A80A1D" w:rsidP="00A80A1D">
            <w:pPr>
              <w:spacing w:after="0"/>
              <w:jc w:val="center"/>
              <w:rPr>
                <w:rFonts w:ascii="Arial" w:hAnsi="Arial" w:cs="Arial"/>
                <w:sz w:val="18"/>
                <w:szCs w:val="18"/>
                <w:lang w:val="en-US" w:eastAsia="en-US"/>
              </w:rPr>
            </w:pPr>
            <w:r w:rsidRPr="009B6628">
              <w:rPr>
                <w:rFonts w:ascii="Arial" w:hAnsi="Arial" w:cs="Arial"/>
                <w:sz w:val="18"/>
                <w:szCs w:val="18"/>
                <w:lang w:val="en-US" w:eastAsia="en-US"/>
              </w:rPr>
              <w:t>MediaTek</w:t>
            </w:r>
          </w:p>
        </w:tc>
        <w:tc>
          <w:tcPr>
            <w:tcW w:w="1378" w:type="dxa"/>
            <w:vAlign w:val="center"/>
          </w:tcPr>
          <w:p w:rsidR="00F43F1E" w:rsidRPr="00384E7F" w:rsidRDefault="00A80A1D" w:rsidP="00A80A1D">
            <w:pPr>
              <w:spacing w:after="0"/>
              <w:jc w:val="center"/>
              <w:rPr>
                <w:rFonts w:ascii="Arial" w:hAnsi="Arial" w:cs="Arial"/>
                <w:sz w:val="18"/>
                <w:szCs w:val="18"/>
                <w:lang w:val="en-US" w:eastAsia="en-US"/>
              </w:rPr>
            </w:pPr>
            <w:r w:rsidRPr="009B6628">
              <w:rPr>
                <w:rFonts w:ascii="Arial" w:hAnsi="Arial" w:cs="Arial"/>
                <w:sz w:val="18"/>
                <w:szCs w:val="18"/>
                <w:lang w:val="en-US" w:eastAsia="en-US"/>
              </w:rPr>
              <w:t>Qualcomm</w:t>
            </w:r>
          </w:p>
        </w:tc>
        <w:tc>
          <w:tcPr>
            <w:tcW w:w="1392" w:type="dxa"/>
            <w:vAlign w:val="center"/>
          </w:tcPr>
          <w:p w:rsidR="00F43F1E" w:rsidRPr="00384E7F" w:rsidRDefault="00A80A1D" w:rsidP="00A80A1D">
            <w:pPr>
              <w:spacing w:after="0"/>
              <w:jc w:val="center"/>
              <w:rPr>
                <w:rFonts w:ascii="Arial" w:hAnsi="Arial" w:cs="Arial"/>
                <w:sz w:val="18"/>
                <w:szCs w:val="18"/>
                <w:lang w:val="en-US" w:eastAsia="en-US"/>
              </w:rPr>
            </w:pPr>
            <w:r w:rsidRPr="009B6628">
              <w:rPr>
                <w:rFonts w:ascii="Arial" w:hAnsi="Arial" w:cs="Arial"/>
                <w:sz w:val="18"/>
                <w:szCs w:val="18"/>
                <w:lang w:val="en-US" w:eastAsia="en-US"/>
              </w:rPr>
              <w:t>LG</w:t>
            </w:r>
          </w:p>
        </w:tc>
        <w:tc>
          <w:tcPr>
            <w:tcW w:w="1356" w:type="dxa"/>
            <w:vAlign w:val="center"/>
          </w:tcPr>
          <w:p w:rsidR="00F43F1E" w:rsidRPr="00384E7F" w:rsidRDefault="00384E7F" w:rsidP="00F43F1E">
            <w:pPr>
              <w:spacing w:after="0"/>
              <w:jc w:val="center"/>
              <w:rPr>
                <w:rFonts w:ascii="Arial" w:hAnsi="Arial" w:cs="Arial"/>
                <w:sz w:val="18"/>
                <w:szCs w:val="18"/>
                <w:lang w:val="en-US" w:eastAsia="en-US"/>
              </w:rPr>
            </w:pPr>
            <w:r>
              <w:rPr>
                <w:rFonts w:ascii="Arial" w:hAnsi="Arial" w:cs="Arial"/>
                <w:sz w:val="18"/>
                <w:szCs w:val="18"/>
                <w:lang w:val="en-US" w:eastAsia="en-US"/>
              </w:rPr>
              <w:t>Huawei</w:t>
            </w:r>
          </w:p>
        </w:tc>
        <w:tc>
          <w:tcPr>
            <w:tcW w:w="1659" w:type="dxa"/>
            <w:gridSpan w:val="2"/>
            <w:vAlign w:val="center"/>
          </w:tcPr>
          <w:p w:rsidR="00F43F1E" w:rsidRPr="00384E7F" w:rsidRDefault="00A80A1D" w:rsidP="001A7D86">
            <w:pPr>
              <w:spacing w:after="0"/>
              <w:jc w:val="center"/>
              <w:rPr>
                <w:rFonts w:ascii="Arial" w:hAnsi="Arial" w:cs="Arial"/>
                <w:sz w:val="18"/>
                <w:szCs w:val="18"/>
                <w:lang w:val="en-US" w:eastAsia="en-US"/>
              </w:rPr>
            </w:pPr>
            <w:r w:rsidRPr="009B6628">
              <w:rPr>
                <w:rFonts w:ascii="Arial" w:hAnsi="Arial" w:cs="Arial"/>
                <w:sz w:val="18"/>
                <w:szCs w:val="18"/>
                <w:lang w:val="en-US" w:eastAsia="en-US"/>
              </w:rPr>
              <w:t>Sony</w:t>
            </w:r>
          </w:p>
        </w:tc>
        <w:tc>
          <w:tcPr>
            <w:tcW w:w="1221" w:type="dxa"/>
            <w:tcBorders>
              <w:right w:val="nil"/>
            </w:tcBorders>
            <w:vAlign w:val="center"/>
          </w:tcPr>
          <w:p w:rsidR="00F43F1E" w:rsidRPr="00384E7F" w:rsidRDefault="00A80A1D" w:rsidP="00A97A18">
            <w:pPr>
              <w:spacing w:after="0"/>
              <w:jc w:val="center"/>
              <w:rPr>
                <w:rFonts w:ascii="Arial" w:hAnsi="Arial" w:cs="Arial"/>
                <w:sz w:val="18"/>
                <w:szCs w:val="18"/>
                <w:lang w:val="en-US" w:eastAsia="en-US"/>
              </w:rPr>
            </w:pPr>
            <w:r w:rsidRPr="009B6628">
              <w:rPr>
                <w:rFonts w:ascii="Arial" w:hAnsi="Arial" w:cs="Arial"/>
                <w:sz w:val="18"/>
                <w:szCs w:val="18"/>
                <w:lang w:val="en-US" w:eastAsia="en-US"/>
              </w:rPr>
              <w:t>Docomo</w:t>
            </w:r>
          </w:p>
        </w:tc>
      </w:tr>
      <w:tr w:rsidR="00A97A18" w:rsidTr="00384E7F">
        <w:tc>
          <w:tcPr>
            <w:tcW w:w="1565" w:type="dxa"/>
            <w:tcBorders>
              <w:left w:val="nil"/>
            </w:tcBorders>
            <w:vAlign w:val="center"/>
          </w:tcPr>
          <w:p w:rsidR="00A80A1D" w:rsidRPr="009B6628" w:rsidRDefault="00A80A1D" w:rsidP="00A80A1D">
            <w:pPr>
              <w:spacing w:after="0"/>
              <w:rPr>
                <w:rFonts w:ascii="Arial" w:hAnsi="Arial" w:cs="Arial"/>
                <w:sz w:val="18"/>
                <w:szCs w:val="18"/>
                <w:lang w:val="en-US" w:eastAsia="en-US"/>
              </w:rPr>
            </w:pPr>
            <w:r w:rsidRPr="009B6628">
              <w:rPr>
                <w:rFonts w:ascii="Arial" w:hAnsi="Arial" w:cs="Arial"/>
                <w:color w:val="000000"/>
                <w:sz w:val="18"/>
                <w:szCs w:val="18"/>
              </w:rPr>
              <w:t># antenna arrays in DUT</w:t>
            </w:r>
          </w:p>
        </w:tc>
        <w:tc>
          <w:tcPr>
            <w:tcW w:w="1119"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FFS</w:t>
            </w:r>
          </w:p>
        </w:tc>
        <w:tc>
          <w:tcPr>
            <w:tcW w:w="1290"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78"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92"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56" w:type="dxa"/>
            <w:vAlign w:val="center"/>
          </w:tcPr>
          <w:p w:rsidR="00A80A1D" w:rsidRPr="009B6628" w:rsidRDefault="00A80A1D" w:rsidP="00A80A1D">
            <w:pPr>
              <w:spacing w:after="0"/>
              <w:jc w:val="center"/>
              <w:rPr>
                <w:rFonts w:ascii="Arial" w:hAnsi="Arial" w:cs="Arial"/>
                <w:color w:val="000000"/>
                <w:sz w:val="18"/>
                <w:szCs w:val="18"/>
              </w:rPr>
            </w:pPr>
            <w:r>
              <w:rPr>
                <w:rFonts w:ascii="Arial" w:hAnsi="Arial" w:cs="Arial"/>
                <w:color w:val="000000"/>
                <w:sz w:val="18"/>
                <w:szCs w:val="18"/>
              </w:rPr>
              <w:t>no data</w:t>
            </w:r>
          </w:p>
        </w:tc>
        <w:tc>
          <w:tcPr>
            <w:tcW w:w="810"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UE1=</w:t>
            </w:r>
            <w:r>
              <w:rPr>
                <w:rFonts w:ascii="Arial" w:hAnsi="Arial" w:cs="Arial"/>
                <w:color w:val="000000"/>
                <w:sz w:val="18"/>
                <w:szCs w:val="18"/>
              </w:rPr>
              <w:t>2</w:t>
            </w:r>
            <w:r w:rsidRPr="009B6628">
              <w:rPr>
                <w:rFonts w:ascii="Arial" w:hAnsi="Arial" w:cs="Arial"/>
                <w:color w:val="000000"/>
                <w:sz w:val="18"/>
                <w:szCs w:val="18"/>
              </w:rPr>
              <w:t xml:space="preserve"> </w:t>
            </w:r>
          </w:p>
        </w:tc>
        <w:tc>
          <w:tcPr>
            <w:tcW w:w="849"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UE2=3</w:t>
            </w:r>
          </w:p>
        </w:tc>
        <w:tc>
          <w:tcPr>
            <w:tcW w:w="1221" w:type="dxa"/>
            <w:tcBorders>
              <w:right w:val="nil"/>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2</w:t>
            </w:r>
          </w:p>
        </w:tc>
      </w:tr>
      <w:tr w:rsidR="00A97A18" w:rsidTr="00384E7F">
        <w:tc>
          <w:tcPr>
            <w:tcW w:w="1565" w:type="dxa"/>
            <w:tcBorders>
              <w:left w:val="nil"/>
            </w:tcBorders>
            <w:vAlign w:val="center"/>
          </w:tcPr>
          <w:p w:rsidR="00A80A1D" w:rsidRPr="009B6628" w:rsidRDefault="00A80A1D" w:rsidP="00A80A1D">
            <w:pPr>
              <w:spacing w:after="0"/>
              <w:rPr>
                <w:rFonts w:ascii="Arial" w:hAnsi="Arial" w:cs="Arial"/>
                <w:sz w:val="18"/>
                <w:szCs w:val="18"/>
                <w:lang w:val="en-US" w:eastAsia="en-US"/>
              </w:rPr>
            </w:pPr>
            <w:r w:rsidRPr="009B6628">
              <w:rPr>
                <w:rFonts w:ascii="Arial" w:hAnsi="Arial" w:cs="Arial"/>
                <w:color w:val="000000"/>
                <w:sz w:val="18"/>
                <w:szCs w:val="18"/>
              </w:rPr>
              <w:t>enclosure around antennas</w:t>
            </w:r>
          </w:p>
        </w:tc>
        <w:tc>
          <w:tcPr>
            <w:tcW w:w="1119" w:type="dxa"/>
            <w:vAlign w:val="center"/>
          </w:tcPr>
          <w:p w:rsidR="00A80A1D" w:rsidRPr="009B6628" w:rsidRDefault="00A80A1D" w:rsidP="00A80A1D">
            <w:pPr>
              <w:spacing w:after="0"/>
              <w:jc w:val="center"/>
              <w:rPr>
                <w:rFonts w:ascii="Arial" w:hAnsi="Arial" w:cs="Arial"/>
                <w:sz w:val="18"/>
                <w:szCs w:val="18"/>
                <w:lang w:val="en-US" w:eastAsia="en-US"/>
              </w:rPr>
            </w:pPr>
            <w:r>
              <w:rPr>
                <w:rFonts w:ascii="Arial" w:hAnsi="Arial" w:cs="Arial"/>
                <w:color w:val="000000"/>
                <w:sz w:val="18"/>
                <w:szCs w:val="18"/>
              </w:rPr>
              <w:t>n</w:t>
            </w:r>
            <w:r w:rsidRPr="009B6628">
              <w:rPr>
                <w:rFonts w:ascii="Arial" w:hAnsi="Arial" w:cs="Arial"/>
                <w:color w:val="000000"/>
                <w:sz w:val="18"/>
                <w:szCs w:val="18"/>
              </w:rPr>
              <w:t>o</w:t>
            </w:r>
            <w:r>
              <w:rPr>
                <w:rFonts w:ascii="Arial" w:hAnsi="Arial" w:cs="Arial"/>
                <w:color w:val="000000"/>
                <w:sz w:val="18"/>
                <w:szCs w:val="18"/>
              </w:rPr>
              <w:t xml:space="preserve"> data</w:t>
            </w:r>
          </w:p>
        </w:tc>
        <w:tc>
          <w:tcPr>
            <w:tcW w:w="1290"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78" w:type="dxa"/>
            <w:vAlign w:val="center"/>
          </w:tcPr>
          <w:p w:rsidR="00A80A1D" w:rsidRPr="009B6628" w:rsidRDefault="00046DFF" w:rsidP="00A80A1D">
            <w:pPr>
              <w:spacing w:after="0"/>
              <w:jc w:val="center"/>
              <w:rPr>
                <w:rFonts w:ascii="Arial" w:hAnsi="Arial" w:cs="Arial"/>
                <w:color w:val="000000"/>
                <w:sz w:val="18"/>
                <w:szCs w:val="18"/>
              </w:rPr>
            </w:pPr>
            <w:r>
              <w:rPr>
                <w:rFonts w:ascii="Arial" w:hAnsi="Arial" w:cs="Arial"/>
                <w:color w:val="000000"/>
                <w:sz w:val="18"/>
                <w:szCs w:val="18"/>
              </w:rPr>
              <w:t>case loss</w:t>
            </w:r>
          </w:p>
        </w:tc>
        <w:tc>
          <w:tcPr>
            <w:tcW w:w="1392" w:type="dxa"/>
            <w:vAlign w:val="center"/>
          </w:tcPr>
          <w:p w:rsidR="00A80A1D" w:rsidRPr="009B6628" w:rsidRDefault="00046DFF" w:rsidP="00A80A1D">
            <w:pPr>
              <w:spacing w:after="0"/>
              <w:jc w:val="center"/>
              <w:rPr>
                <w:rFonts w:ascii="Arial" w:hAnsi="Arial" w:cs="Arial"/>
                <w:color w:val="000000"/>
                <w:sz w:val="18"/>
                <w:szCs w:val="18"/>
              </w:rPr>
            </w:pPr>
            <w:r>
              <w:rPr>
                <w:rFonts w:ascii="Arial" w:hAnsi="Arial" w:cs="Arial"/>
                <w:color w:val="000000"/>
                <w:sz w:val="18"/>
                <w:szCs w:val="18"/>
              </w:rPr>
              <w:t>cover loss</w:t>
            </w:r>
          </w:p>
        </w:tc>
        <w:tc>
          <w:tcPr>
            <w:tcW w:w="1356" w:type="dxa"/>
            <w:vAlign w:val="center"/>
          </w:tcPr>
          <w:p w:rsidR="00A80A1D" w:rsidRPr="009B6628" w:rsidRDefault="00046DFF" w:rsidP="00A80A1D">
            <w:pPr>
              <w:spacing w:after="0"/>
              <w:jc w:val="center"/>
              <w:rPr>
                <w:rFonts w:ascii="Arial" w:hAnsi="Arial" w:cs="Arial"/>
                <w:color w:val="000000"/>
                <w:sz w:val="18"/>
                <w:szCs w:val="18"/>
              </w:rPr>
            </w:pPr>
            <w:r>
              <w:rPr>
                <w:rFonts w:ascii="Arial" w:hAnsi="Arial" w:cs="Arial"/>
                <w:color w:val="000000"/>
                <w:sz w:val="18"/>
                <w:szCs w:val="18"/>
              </w:rPr>
              <w:t>cover loss</w:t>
            </w:r>
          </w:p>
        </w:tc>
        <w:tc>
          <w:tcPr>
            <w:tcW w:w="1659" w:type="dxa"/>
            <w:gridSpan w:val="2"/>
            <w:vAlign w:val="center"/>
          </w:tcPr>
          <w:p w:rsidR="001A7D86" w:rsidRPr="00046DFF" w:rsidRDefault="001A7D86" w:rsidP="00A80A1D">
            <w:pPr>
              <w:spacing w:after="0"/>
              <w:jc w:val="center"/>
              <w:rPr>
                <w:rFonts w:ascii="Arial" w:hAnsi="Arial" w:cs="Arial"/>
                <w:color w:val="000000"/>
                <w:sz w:val="18"/>
                <w:szCs w:val="18"/>
              </w:rPr>
            </w:pPr>
            <w:r>
              <w:rPr>
                <w:rFonts w:ascii="Arial" w:hAnsi="Arial" w:cs="Arial"/>
                <w:color w:val="000000"/>
                <w:sz w:val="18"/>
                <w:szCs w:val="18"/>
              </w:rPr>
              <w:t>case loss</w:t>
            </w:r>
          </w:p>
        </w:tc>
        <w:tc>
          <w:tcPr>
            <w:tcW w:w="1221" w:type="dxa"/>
            <w:tcBorders>
              <w:right w:val="nil"/>
            </w:tcBorders>
            <w:vAlign w:val="center"/>
          </w:tcPr>
          <w:p w:rsidR="00A80A1D" w:rsidRPr="009B6628" w:rsidRDefault="00A80A1D" w:rsidP="00A80A1D">
            <w:pPr>
              <w:spacing w:after="0"/>
              <w:jc w:val="center"/>
              <w:rPr>
                <w:rFonts w:ascii="Arial" w:hAnsi="Arial" w:cs="Arial"/>
                <w:sz w:val="18"/>
                <w:szCs w:val="18"/>
                <w:lang w:val="en-US" w:eastAsia="en-US"/>
              </w:rPr>
            </w:pPr>
            <w:r>
              <w:rPr>
                <w:rFonts w:ascii="Arial" w:hAnsi="Arial" w:cs="Arial"/>
                <w:color w:val="000000"/>
                <w:sz w:val="18"/>
                <w:szCs w:val="18"/>
              </w:rPr>
              <w:t>y</w:t>
            </w:r>
            <w:r w:rsidRPr="009B6628">
              <w:rPr>
                <w:rFonts w:ascii="Arial" w:hAnsi="Arial" w:cs="Arial"/>
                <w:color w:val="000000"/>
                <w:sz w:val="18"/>
                <w:szCs w:val="18"/>
              </w:rPr>
              <w:t>es</w:t>
            </w:r>
          </w:p>
        </w:tc>
      </w:tr>
      <w:tr w:rsidR="00A97A18" w:rsidTr="00384E7F">
        <w:tc>
          <w:tcPr>
            <w:tcW w:w="1565" w:type="dxa"/>
            <w:tcBorders>
              <w:left w:val="nil"/>
            </w:tcBorders>
            <w:vAlign w:val="center"/>
          </w:tcPr>
          <w:p w:rsidR="00A80A1D" w:rsidRPr="009B6628" w:rsidRDefault="00A80A1D" w:rsidP="00046DFF">
            <w:pPr>
              <w:spacing w:after="0"/>
              <w:rPr>
                <w:rFonts w:ascii="Arial" w:hAnsi="Arial" w:cs="Arial"/>
                <w:sz w:val="18"/>
                <w:szCs w:val="18"/>
                <w:lang w:val="en-US" w:eastAsia="en-US"/>
              </w:rPr>
            </w:pPr>
            <w:r w:rsidRPr="009B6628">
              <w:rPr>
                <w:rFonts w:ascii="Arial" w:hAnsi="Arial" w:cs="Arial"/>
                <w:color w:val="000000"/>
                <w:sz w:val="18"/>
                <w:szCs w:val="18"/>
              </w:rPr>
              <w:t>material</w:t>
            </w:r>
            <w:r w:rsidR="00046DFF">
              <w:rPr>
                <w:rFonts w:ascii="Arial" w:hAnsi="Arial" w:cs="Arial"/>
                <w:color w:val="000000"/>
                <w:sz w:val="18"/>
                <w:szCs w:val="18"/>
              </w:rPr>
              <w:t>s considered</w:t>
            </w:r>
          </w:p>
        </w:tc>
        <w:tc>
          <w:tcPr>
            <w:tcW w:w="1119"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c>
          <w:tcPr>
            <w:tcW w:w="1290"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78"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92"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56" w:type="dxa"/>
            <w:vAlign w:val="center"/>
          </w:tcPr>
          <w:p w:rsidR="00A80A1D" w:rsidRPr="009B6628" w:rsidRDefault="00A80A1D" w:rsidP="00A80A1D">
            <w:pPr>
              <w:spacing w:after="0"/>
              <w:jc w:val="center"/>
              <w:rPr>
                <w:rFonts w:ascii="Arial" w:hAnsi="Arial" w:cs="Arial"/>
                <w:color w:val="000000"/>
                <w:sz w:val="18"/>
                <w:szCs w:val="18"/>
              </w:rPr>
            </w:pPr>
            <w:r>
              <w:rPr>
                <w:rFonts w:ascii="Arial" w:hAnsi="Arial" w:cs="Arial"/>
                <w:color w:val="000000"/>
                <w:sz w:val="18"/>
                <w:szCs w:val="18"/>
              </w:rPr>
              <w:t>glass/plastic</w:t>
            </w:r>
          </w:p>
        </w:tc>
        <w:tc>
          <w:tcPr>
            <w:tcW w:w="1659" w:type="dxa"/>
            <w:gridSpan w:val="2"/>
            <w:vAlign w:val="center"/>
          </w:tcPr>
          <w:p w:rsidR="00A80A1D" w:rsidRPr="009B6628" w:rsidRDefault="00B74D52" w:rsidP="00A80A1D">
            <w:pPr>
              <w:spacing w:after="0"/>
              <w:jc w:val="center"/>
              <w:rPr>
                <w:rFonts w:ascii="Arial" w:hAnsi="Arial" w:cs="Arial"/>
                <w:sz w:val="18"/>
                <w:szCs w:val="18"/>
                <w:lang w:val="en-US" w:eastAsia="en-US"/>
              </w:rPr>
            </w:pPr>
            <w:r>
              <w:rPr>
                <w:rFonts w:ascii="Arial" w:hAnsi="Arial" w:cs="Arial"/>
                <w:color w:val="000000"/>
                <w:sz w:val="18"/>
                <w:szCs w:val="18"/>
              </w:rPr>
              <w:t xml:space="preserve"> </w:t>
            </w:r>
            <w:r w:rsidR="00A80A1D" w:rsidRPr="009B6628">
              <w:rPr>
                <w:rFonts w:ascii="Arial" w:hAnsi="Arial" w:cs="Arial"/>
                <w:color w:val="000000"/>
                <w:sz w:val="18"/>
                <w:szCs w:val="18"/>
              </w:rPr>
              <w:t>no data</w:t>
            </w:r>
            <w:r w:rsidR="00207878">
              <w:rPr>
                <w:rFonts w:ascii="Arial" w:hAnsi="Arial" w:cs="Arial"/>
                <w:sz w:val="18"/>
                <w:szCs w:val="18"/>
                <w:vertAlign w:val="superscript"/>
                <w:lang w:val="en-US" w:eastAsia="en-US"/>
              </w:rPr>
              <w:t>4</w:t>
            </w:r>
          </w:p>
        </w:tc>
        <w:tc>
          <w:tcPr>
            <w:tcW w:w="1221" w:type="dxa"/>
            <w:tcBorders>
              <w:right w:val="nil"/>
            </w:tcBorders>
            <w:vAlign w:val="center"/>
          </w:tcPr>
          <w:p w:rsidR="00A80A1D" w:rsidRPr="009B6628" w:rsidRDefault="00A80A1D" w:rsidP="00A80A1D">
            <w:pPr>
              <w:spacing w:after="0"/>
              <w:jc w:val="center"/>
              <w:rPr>
                <w:rFonts w:ascii="Arial" w:hAnsi="Arial" w:cs="Arial"/>
                <w:sz w:val="18"/>
                <w:szCs w:val="18"/>
                <w:lang w:val="en-US" w:eastAsia="en-US"/>
              </w:rPr>
            </w:pPr>
            <w:r>
              <w:rPr>
                <w:rFonts w:ascii="Arial" w:hAnsi="Arial" w:cs="Arial"/>
                <w:color w:val="000000"/>
                <w:sz w:val="18"/>
                <w:szCs w:val="18"/>
              </w:rPr>
              <w:t>metal/plastic</w:t>
            </w:r>
          </w:p>
        </w:tc>
      </w:tr>
      <w:tr w:rsidR="00A97A18" w:rsidTr="00384E7F">
        <w:tc>
          <w:tcPr>
            <w:tcW w:w="1565" w:type="dxa"/>
            <w:tcBorders>
              <w:left w:val="nil"/>
            </w:tcBorders>
            <w:vAlign w:val="center"/>
          </w:tcPr>
          <w:p w:rsidR="00A80A1D" w:rsidRPr="009B6628" w:rsidRDefault="00A80A1D" w:rsidP="00A80A1D">
            <w:pPr>
              <w:spacing w:after="0"/>
              <w:rPr>
                <w:rFonts w:ascii="Arial" w:hAnsi="Arial" w:cs="Arial"/>
                <w:sz w:val="18"/>
                <w:szCs w:val="18"/>
                <w:lang w:val="en-US" w:eastAsia="en-US"/>
              </w:rPr>
            </w:pPr>
            <w:r w:rsidRPr="009B6628">
              <w:rPr>
                <w:rFonts w:ascii="Arial" w:hAnsi="Arial" w:cs="Arial"/>
                <w:color w:val="000000"/>
                <w:sz w:val="18"/>
                <w:szCs w:val="18"/>
              </w:rPr>
              <w:t>PA output [dBm]</w:t>
            </w:r>
          </w:p>
        </w:tc>
        <w:tc>
          <w:tcPr>
            <w:tcW w:w="1119"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14</w:t>
            </w:r>
          </w:p>
        </w:tc>
        <w:tc>
          <w:tcPr>
            <w:tcW w:w="1290"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9</w:t>
            </w:r>
          </w:p>
        </w:tc>
        <w:tc>
          <w:tcPr>
            <w:tcW w:w="1378"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14</w:t>
            </w:r>
          </w:p>
        </w:tc>
        <w:tc>
          <w:tcPr>
            <w:tcW w:w="1392" w:type="dxa"/>
            <w:vAlign w:val="center"/>
          </w:tcPr>
          <w:p w:rsidR="00A80A1D" w:rsidRPr="009B6628" w:rsidRDefault="00A80A1D" w:rsidP="00207878">
            <w:pPr>
              <w:spacing w:after="0"/>
              <w:jc w:val="center"/>
              <w:rPr>
                <w:rFonts w:ascii="Arial" w:hAnsi="Arial" w:cs="Arial"/>
                <w:color w:val="000000"/>
                <w:sz w:val="18"/>
                <w:szCs w:val="18"/>
              </w:rPr>
            </w:pPr>
            <w:r w:rsidRPr="009B6628">
              <w:rPr>
                <w:rFonts w:ascii="Arial" w:hAnsi="Arial" w:cs="Arial"/>
                <w:color w:val="000000"/>
                <w:sz w:val="18"/>
                <w:szCs w:val="18"/>
              </w:rPr>
              <w:t>17</w:t>
            </w:r>
            <w:r w:rsidR="00207878">
              <w:rPr>
                <w:rFonts w:ascii="Arial" w:hAnsi="Arial" w:cs="Arial"/>
                <w:b/>
                <w:color w:val="000000"/>
                <w:sz w:val="18"/>
                <w:szCs w:val="18"/>
                <w:vertAlign w:val="superscript"/>
              </w:rPr>
              <w:t>3</w:t>
            </w:r>
          </w:p>
        </w:tc>
        <w:tc>
          <w:tcPr>
            <w:tcW w:w="1356" w:type="dxa"/>
            <w:vAlign w:val="center"/>
          </w:tcPr>
          <w:p w:rsidR="00A80A1D" w:rsidRPr="009B6628" w:rsidRDefault="00A80A1D" w:rsidP="00A80A1D">
            <w:pPr>
              <w:spacing w:after="0"/>
              <w:jc w:val="center"/>
              <w:rPr>
                <w:rFonts w:ascii="Arial" w:hAnsi="Arial" w:cs="Arial"/>
                <w:color w:val="000000"/>
                <w:sz w:val="18"/>
                <w:szCs w:val="18"/>
              </w:rPr>
            </w:pPr>
            <w:r>
              <w:rPr>
                <w:rFonts w:ascii="Arial" w:hAnsi="Arial" w:cs="Arial"/>
                <w:color w:val="000000"/>
                <w:sz w:val="18"/>
                <w:szCs w:val="18"/>
              </w:rPr>
              <w:t>14</w:t>
            </w:r>
          </w:p>
        </w:tc>
        <w:tc>
          <w:tcPr>
            <w:tcW w:w="1659" w:type="dxa"/>
            <w:gridSpan w:val="2"/>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c>
          <w:tcPr>
            <w:tcW w:w="1221" w:type="dxa"/>
            <w:tcBorders>
              <w:right w:val="nil"/>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17-19</w:t>
            </w:r>
          </w:p>
        </w:tc>
      </w:tr>
      <w:tr w:rsidR="00A97A18" w:rsidTr="00384E7F">
        <w:tc>
          <w:tcPr>
            <w:tcW w:w="1565" w:type="dxa"/>
            <w:tcBorders>
              <w:left w:val="nil"/>
            </w:tcBorders>
            <w:vAlign w:val="center"/>
          </w:tcPr>
          <w:p w:rsidR="00A80A1D" w:rsidRPr="009B6628" w:rsidRDefault="00A80A1D" w:rsidP="00A80A1D">
            <w:pPr>
              <w:spacing w:after="0"/>
              <w:rPr>
                <w:rFonts w:ascii="Arial" w:hAnsi="Arial" w:cs="Arial"/>
                <w:sz w:val="18"/>
                <w:szCs w:val="18"/>
                <w:lang w:val="en-US" w:eastAsia="en-US"/>
              </w:rPr>
            </w:pPr>
            <w:r w:rsidRPr="009B6628">
              <w:rPr>
                <w:rFonts w:ascii="Arial" w:hAnsi="Arial" w:cs="Arial"/>
                <w:color w:val="000000"/>
                <w:sz w:val="18"/>
                <w:szCs w:val="18"/>
              </w:rPr>
              <w:t>spatial coverage of CDF</w:t>
            </w:r>
          </w:p>
        </w:tc>
        <w:tc>
          <w:tcPr>
            <w:tcW w:w="1119" w:type="dxa"/>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sz w:val="18"/>
                <w:szCs w:val="18"/>
              </w:rPr>
              <w:t>no data</w:t>
            </w:r>
          </w:p>
        </w:tc>
        <w:tc>
          <w:tcPr>
            <w:tcW w:w="1290"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378"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around the sphere</w:t>
            </w:r>
          </w:p>
        </w:tc>
        <w:tc>
          <w:tcPr>
            <w:tcW w:w="1392" w:type="dxa"/>
            <w:vAlign w:val="center"/>
          </w:tcPr>
          <w:p w:rsidR="00A80A1D" w:rsidRPr="009B6628"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over all angles</w:t>
            </w:r>
          </w:p>
        </w:tc>
        <w:tc>
          <w:tcPr>
            <w:tcW w:w="1356" w:type="dxa"/>
            <w:vAlign w:val="center"/>
          </w:tcPr>
          <w:p w:rsidR="00A80A1D" w:rsidRPr="009B6628" w:rsidRDefault="00A80A1D" w:rsidP="00A80A1D">
            <w:pPr>
              <w:spacing w:after="0"/>
              <w:jc w:val="center"/>
              <w:rPr>
                <w:rFonts w:ascii="Arial" w:hAnsi="Arial" w:cs="Arial"/>
                <w:color w:val="000000"/>
                <w:sz w:val="18"/>
                <w:szCs w:val="18"/>
              </w:rPr>
            </w:pPr>
            <w:r>
              <w:rPr>
                <w:rFonts w:ascii="Arial" w:hAnsi="Arial" w:cs="Arial"/>
                <w:color w:val="000000"/>
                <w:sz w:val="18"/>
                <w:szCs w:val="18"/>
              </w:rPr>
              <w:t>no data</w:t>
            </w:r>
          </w:p>
        </w:tc>
        <w:tc>
          <w:tcPr>
            <w:tcW w:w="1659" w:type="dxa"/>
            <w:gridSpan w:val="2"/>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c>
          <w:tcPr>
            <w:tcW w:w="1221" w:type="dxa"/>
            <w:tcBorders>
              <w:right w:val="nil"/>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r>
      <w:tr w:rsidR="00A97A18" w:rsidTr="00384E7F">
        <w:tc>
          <w:tcPr>
            <w:tcW w:w="1565" w:type="dxa"/>
            <w:tcBorders>
              <w:left w:val="nil"/>
              <w:bottom w:val="single" w:sz="12" w:space="0" w:color="auto"/>
            </w:tcBorders>
            <w:vAlign w:val="center"/>
          </w:tcPr>
          <w:p w:rsidR="00A80A1D" w:rsidRPr="009B6628" w:rsidRDefault="00A80A1D" w:rsidP="00A80A1D">
            <w:pPr>
              <w:spacing w:after="0"/>
              <w:rPr>
                <w:rFonts w:ascii="Arial" w:hAnsi="Arial" w:cs="Arial"/>
                <w:sz w:val="18"/>
                <w:szCs w:val="18"/>
                <w:lang w:val="en-US" w:eastAsia="en-US"/>
              </w:rPr>
            </w:pPr>
            <w:r w:rsidRPr="009B6628">
              <w:rPr>
                <w:rFonts w:ascii="Arial" w:hAnsi="Arial" w:cs="Arial"/>
                <w:color w:val="000000"/>
                <w:sz w:val="18"/>
                <w:szCs w:val="18"/>
              </w:rPr>
              <w:t>50 percentile value [dBm]</w:t>
            </w:r>
          </w:p>
        </w:tc>
        <w:tc>
          <w:tcPr>
            <w:tcW w:w="1119" w:type="dxa"/>
            <w:tcBorders>
              <w:bottom w:val="single" w:sz="12" w:space="0" w:color="auto"/>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26.62</w:t>
            </w:r>
          </w:p>
        </w:tc>
        <w:tc>
          <w:tcPr>
            <w:tcW w:w="1290" w:type="dxa"/>
            <w:tcBorders>
              <w:bottom w:val="single" w:sz="12" w:space="0" w:color="auto"/>
            </w:tcBorders>
            <w:vAlign w:val="center"/>
          </w:tcPr>
          <w:p w:rsidR="00A80A1D" w:rsidRDefault="00A80A1D" w:rsidP="001A7D86">
            <w:pPr>
              <w:spacing w:after="0"/>
              <w:jc w:val="center"/>
              <w:rPr>
                <w:rFonts w:ascii="Arial" w:hAnsi="Arial" w:cs="Arial"/>
                <w:color w:val="000000"/>
                <w:sz w:val="18"/>
                <w:szCs w:val="18"/>
              </w:rPr>
            </w:pPr>
            <w:r w:rsidRPr="009B6628">
              <w:rPr>
                <w:rFonts w:ascii="Arial" w:hAnsi="Arial" w:cs="Arial"/>
                <w:color w:val="000000"/>
                <w:sz w:val="18"/>
                <w:szCs w:val="18"/>
              </w:rPr>
              <w:t>18</w:t>
            </w:r>
            <w:r w:rsidR="001A7D86">
              <w:rPr>
                <w:rFonts w:ascii="Arial" w:hAnsi="Arial" w:cs="Arial"/>
                <w:color w:val="000000"/>
                <w:sz w:val="18"/>
                <w:szCs w:val="18"/>
                <w:vertAlign w:val="superscript"/>
              </w:rPr>
              <w:t>1</w:t>
            </w:r>
          </w:p>
        </w:tc>
        <w:tc>
          <w:tcPr>
            <w:tcW w:w="1378" w:type="dxa"/>
            <w:tcBorders>
              <w:bottom w:val="single" w:sz="12" w:space="0" w:color="auto"/>
            </w:tcBorders>
            <w:vAlign w:val="center"/>
          </w:tcPr>
          <w:p w:rsidR="00A80A1D" w:rsidRDefault="00A80A1D" w:rsidP="00207878">
            <w:pPr>
              <w:spacing w:after="0"/>
              <w:jc w:val="center"/>
              <w:rPr>
                <w:rFonts w:ascii="Arial" w:hAnsi="Arial" w:cs="Arial"/>
                <w:color w:val="000000"/>
                <w:sz w:val="18"/>
                <w:szCs w:val="18"/>
              </w:rPr>
            </w:pPr>
            <w:r w:rsidRPr="009B6628">
              <w:rPr>
                <w:rFonts w:ascii="Arial" w:hAnsi="Arial" w:cs="Arial"/>
                <w:color w:val="000000"/>
                <w:sz w:val="18"/>
                <w:szCs w:val="18"/>
              </w:rPr>
              <w:t>17.1-28.9</w:t>
            </w:r>
            <w:r w:rsidR="00207878">
              <w:rPr>
                <w:rFonts w:ascii="Arial" w:hAnsi="Arial" w:cs="Arial"/>
                <w:color w:val="000000"/>
                <w:sz w:val="18"/>
                <w:szCs w:val="18"/>
                <w:vertAlign w:val="superscript"/>
              </w:rPr>
              <w:t>2</w:t>
            </w:r>
          </w:p>
        </w:tc>
        <w:tc>
          <w:tcPr>
            <w:tcW w:w="1392" w:type="dxa"/>
            <w:tcBorders>
              <w:bottom w:val="single" w:sz="12" w:space="0" w:color="auto"/>
            </w:tcBorders>
            <w:vAlign w:val="center"/>
          </w:tcPr>
          <w:p w:rsidR="00A80A1D" w:rsidRDefault="00A80A1D" w:rsidP="00A80A1D">
            <w:pPr>
              <w:spacing w:after="0"/>
              <w:jc w:val="center"/>
              <w:rPr>
                <w:rFonts w:ascii="Arial" w:hAnsi="Arial" w:cs="Arial"/>
                <w:color w:val="000000"/>
                <w:sz w:val="18"/>
                <w:szCs w:val="18"/>
              </w:rPr>
            </w:pPr>
            <w:r w:rsidRPr="009B6628">
              <w:rPr>
                <w:rFonts w:ascii="Arial" w:hAnsi="Arial" w:cs="Arial"/>
                <w:color w:val="000000"/>
                <w:sz w:val="18"/>
                <w:szCs w:val="18"/>
              </w:rPr>
              <w:t>20.7</w:t>
            </w:r>
          </w:p>
        </w:tc>
        <w:tc>
          <w:tcPr>
            <w:tcW w:w="1356" w:type="dxa"/>
            <w:tcBorders>
              <w:bottom w:val="single" w:sz="12" w:space="0" w:color="auto"/>
            </w:tcBorders>
            <w:vAlign w:val="center"/>
          </w:tcPr>
          <w:p w:rsidR="00A80A1D" w:rsidRDefault="00A80A1D" w:rsidP="00A80A1D">
            <w:pPr>
              <w:spacing w:after="0"/>
              <w:jc w:val="center"/>
              <w:rPr>
                <w:rFonts w:ascii="Arial" w:hAnsi="Arial" w:cs="Arial"/>
                <w:color w:val="000000"/>
                <w:sz w:val="18"/>
                <w:szCs w:val="18"/>
              </w:rPr>
            </w:pPr>
            <w:r>
              <w:rPr>
                <w:rFonts w:ascii="Arial" w:hAnsi="Arial" w:cs="Arial"/>
                <w:color w:val="000000"/>
                <w:sz w:val="18"/>
                <w:szCs w:val="18"/>
              </w:rPr>
              <w:t>not listed</w:t>
            </w:r>
          </w:p>
        </w:tc>
        <w:tc>
          <w:tcPr>
            <w:tcW w:w="810" w:type="dxa"/>
            <w:tcBorders>
              <w:bottom w:val="single" w:sz="12" w:space="0" w:color="auto"/>
            </w:tcBorders>
            <w:vAlign w:val="center"/>
          </w:tcPr>
          <w:p w:rsidR="00A80A1D" w:rsidRPr="009B6628" w:rsidRDefault="00A80A1D" w:rsidP="00A80A1D">
            <w:pPr>
              <w:spacing w:after="0"/>
              <w:jc w:val="center"/>
              <w:rPr>
                <w:rFonts w:ascii="Arial" w:hAnsi="Arial" w:cs="Arial"/>
                <w:sz w:val="18"/>
                <w:szCs w:val="18"/>
                <w:lang w:val="en-US" w:eastAsia="en-US"/>
              </w:rPr>
            </w:pPr>
            <w:r>
              <w:rPr>
                <w:rFonts w:ascii="Arial" w:hAnsi="Arial" w:cs="Arial"/>
                <w:color w:val="000000"/>
                <w:sz w:val="18"/>
                <w:szCs w:val="18"/>
              </w:rPr>
              <w:t>26.5</w:t>
            </w:r>
          </w:p>
        </w:tc>
        <w:tc>
          <w:tcPr>
            <w:tcW w:w="849" w:type="dxa"/>
            <w:tcBorders>
              <w:bottom w:val="single" w:sz="12" w:space="0" w:color="auto"/>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27.5</w:t>
            </w:r>
          </w:p>
        </w:tc>
        <w:tc>
          <w:tcPr>
            <w:tcW w:w="1221" w:type="dxa"/>
            <w:tcBorders>
              <w:bottom w:val="single" w:sz="12" w:space="0" w:color="auto"/>
              <w:right w:val="nil"/>
            </w:tcBorders>
            <w:vAlign w:val="center"/>
          </w:tcPr>
          <w:p w:rsidR="00A80A1D" w:rsidRPr="009B6628" w:rsidRDefault="00A80A1D" w:rsidP="00A80A1D">
            <w:pPr>
              <w:spacing w:after="0"/>
              <w:jc w:val="center"/>
              <w:rPr>
                <w:rFonts w:ascii="Arial" w:hAnsi="Arial" w:cs="Arial"/>
                <w:sz w:val="18"/>
                <w:szCs w:val="18"/>
                <w:lang w:val="en-US" w:eastAsia="en-US"/>
              </w:rPr>
            </w:pPr>
            <w:r w:rsidRPr="009B6628">
              <w:rPr>
                <w:rFonts w:ascii="Arial" w:hAnsi="Arial" w:cs="Arial"/>
                <w:color w:val="000000"/>
                <w:sz w:val="18"/>
                <w:szCs w:val="18"/>
              </w:rPr>
              <w:t>26-30</w:t>
            </w:r>
          </w:p>
        </w:tc>
      </w:tr>
      <w:tr w:rsidR="00397DC8" w:rsidTr="00384E7F">
        <w:trPr>
          <w:trHeight w:val="288"/>
        </w:trPr>
        <w:tc>
          <w:tcPr>
            <w:tcW w:w="10980" w:type="dxa"/>
            <w:gridSpan w:val="9"/>
            <w:tcBorders>
              <w:left w:val="nil"/>
              <w:bottom w:val="nil"/>
              <w:right w:val="nil"/>
            </w:tcBorders>
            <w:vAlign w:val="center"/>
          </w:tcPr>
          <w:p w:rsidR="00207878" w:rsidRDefault="00397DC8" w:rsidP="00384E7F">
            <w:pPr>
              <w:spacing w:before="60" w:after="0"/>
              <w:rPr>
                <w:rFonts w:ascii="Arial" w:hAnsi="Arial" w:cs="Arial"/>
                <w:color w:val="000000"/>
                <w:sz w:val="18"/>
                <w:szCs w:val="18"/>
              </w:rPr>
            </w:pPr>
            <w:r w:rsidRPr="00A97A18">
              <w:rPr>
                <w:rFonts w:ascii="Arial" w:hAnsi="Arial" w:cs="Arial"/>
                <w:b/>
                <w:color w:val="000000"/>
                <w:sz w:val="18"/>
                <w:szCs w:val="18"/>
              </w:rPr>
              <w:t>Note</w:t>
            </w:r>
            <w:r w:rsidR="00046DFF">
              <w:rPr>
                <w:rFonts w:ascii="Arial" w:hAnsi="Arial" w:cs="Arial"/>
                <w:b/>
                <w:color w:val="000000"/>
                <w:sz w:val="18"/>
                <w:szCs w:val="18"/>
              </w:rPr>
              <w:t>s</w:t>
            </w:r>
            <w:r w:rsidRPr="00A97A18">
              <w:rPr>
                <w:rFonts w:ascii="Arial" w:hAnsi="Arial" w:cs="Arial"/>
                <w:b/>
                <w:color w:val="000000"/>
                <w:sz w:val="18"/>
                <w:szCs w:val="18"/>
              </w:rPr>
              <w:t>:</w:t>
            </w:r>
            <w:r w:rsidR="00046DFF">
              <w:rPr>
                <w:rFonts w:ascii="Arial" w:hAnsi="Arial" w:cs="Arial"/>
                <w:b/>
                <w:color w:val="000000"/>
                <w:sz w:val="18"/>
                <w:szCs w:val="18"/>
              </w:rPr>
              <w:t xml:space="preserve"> </w:t>
            </w:r>
            <w:r>
              <w:rPr>
                <w:rFonts w:ascii="Arial" w:hAnsi="Arial" w:cs="Arial"/>
                <w:color w:val="000000"/>
                <w:sz w:val="18"/>
                <w:szCs w:val="18"/>
                <w:vertAlign w:val="superscript"/>
              </w:rPr>
              <w:t>1</w:t>
            </w:r>
            <w:r w:rsidR="001A7D86">
              <w:rPr>
                <w:rFonts w:ascii="Arial" w:hAnsi="Arial" w:cs="Arial"/>
                <w:color w:val="000000"/>
                <w:sz w:val="18"/>
                <w:szCs w:val="18"/>
              </w:rPr>
              <w:t xml:space="preserve"> </w:t>
            </w:r>
            <w:r w:rsidR="00207878">
              <w:rPr>
                <w:rFonts w:ascii="Arial" w:hAnsi="Arial" w:cs="Arial"/>
                <w:color w:val="000000"/>
                <w:sz w:val="18"/>
                <w:szCs w:val="18"/>
              </w:rPr>
              <w:t xml:space="preserve">Separate </w:t>
            </w:r>
            <w:r w:rsidR="001A7D86">
              <w:rPr>
                <w:rFonts w:ascii="Arial" w:hAnsi="Arial" w:cs="Arial"/>
                <w:color w:val="000000"/>
                <w:sz w:val="18"/>
                <w:szCs w:val="18"/>
              </w:rPr>
              <w:t>classes f</w:t>
            </w:r>
            <w:r w:rsidR="00207878">
              <w:rPr>
                <w:rFonts w:ascii="Arial" w:hAnsi="Arial" w:cs="Arial"/>
                <w:color w:val="000000"/>
                <w:sz w:val="18"/>
                <w:szCs w:val="18"/>
              </w:rPr>
              <w:t>or fixed and mobile</w:t>
            </w:r>
            <w:r w:rsidR="001A7D86">
              <w:rPr>
                <w:rFonts w:ascii="Arial" w:hAnsi="Arial" w:cs="Arial"/>
                <w:color w:val="000000"/>
                <w:sz w:val="18"/>
                <w:szCs w:val="18"/>
              </w:rPr>
              <w:t>, value reflects mobile</w:t>
            </w:r>
            <w:r w:rsidR="00207878">
              <w:rPr>
                <w:rFonts w:ascii="Arial" w:hAnsi="Arial" w:cs="Arial"/>
                <w:color w:val="000000"/>
                <w:sz w:val="18"/>
                <w:szCs w:val="18"/>
              </w:rPr>
              <w:t xml:space="preserve">                       </w:t>
            </w:r>
            <w:r w:rsidR="00207878">
              <w:rPr>
                <w:rFonts w:ascii="Arial" w:hAnsi="Arial" w:cs="Arial"/>
                <w:color w:val="000000"/>
                <w:sz w:val="18"/>
                <w:szCs w:val="18"/>
                <w:vertAlign w:val="superscript"/>
              </w:rPr>
              <w:t xml:space="preserve">4 </w:t>
            </w:r>
            <w:r w:rsidR="00207878">
              <w:rPr>
                <w:rFonts w:ascii="Arial" w:hAnsi="Arial" w:cs="Arial"/>
                <w:color w:val="000000"/>
                <w:sz w:val="18"/>
                <w:szCs w:val="18"/>
              </w:rPr>
              <w:t>Relates to TRP (rather than conducted)</w:t>
            </w:r>
            <w:r w:rsidR="00046DFF">
              <w:rPr>
                <w:rFonts w:ascii="Arial" w:hAnsi="Arial" w:cs="Arial"/>
                <w:color w:val="000000"/>
                <w:sz w:val="18"/>
                <w:szCs w:val="18"/>
              </w:rPr>
              <w:t xml:space="preserve"> </w:t>
            </w:r>
          </w:p>
          <w:p w:rsidR="00397DC8" w:rsidRDefault="00207878" w:rsidP="00207878">
            <w:pPr>
              <w:spacing w:after="0"/>
              <w:rPr>
                <w:rFonts w:ascii="Arial" w:hAnsi="Arial" w:cs="Arial"/>
                <w:color w:val="000000"/>
                <w:sz w:val="18"/>
                <w:szCs w:val="18"/>
              </w:rPr>
            </w:pPr>
            <w:r>
              <w:rPr>
                <w:rFonts w:ascii="Arial" w:hAnsi="Arial" w:cs="Arial"/>
                <w:color w:val="000000"/>
                <w:sz w:val="18"/>
                <w:szCs w:val="18"/>
              </w:rPr>
              <w:t xml:space="preserve">            </w:t>
            </w:r>
            <w:r w:rsidRPr="00EC6751">
              <w:rPr>
                <w:rFonts w:ascii="Arial" w:hAnsi="Arial" w:cs="Arial"/>
                <w:color w:val="000000"/>
                <w:sz w:val="18"/>
                <w:szCs w:val="18"/>
                <w:vertAlign w:val="superscript"/>
              </w:rPr>
              <w:t>2</w:t>
            </w:r>
            <w:r>
              <w:rPr>
                <w:rFonts w:ascii="Arial" w:hAnsi="Arial" w:cs="Arial"/>
                <w:color w:val="000000"/>
                <w:sz w:val="18"/>
                <w:szCs w:val="18"/>
              </w:rPr>
              <w:t xml:space="preserve"> </w:t>
            </w:r>
            <w:r>
              <w:rPr>
                <w:rFonts w:ascii="Arial" w:hAnsi="Arial" w:cs="Arial"/>
                <w:color w:val="000000"/>
                <w:sz w:val="18"/>
                <w:szCs w:val="18"/>
              </w:rPr>
              <w:t>Range for worst to best case scenario based on losses</w:t>
            </w:r>
            <w:r w:rsidR="00046DFF">
              <w:rPr>
                <w:rFonts w:ascii="Arial" w:hAnsi="Arial" w:cs="Arial"/>
                <w:color w:val="000000"/>
                <w:sz w:val="18"/>
                <w:szCs w:val="18"/>
              </w:rPr>
              <w:t xml:space="preserve">           </w:t>
            </w:r>
          </w:p>
          <w:p w:rsidR="004B27DD" w:rsidRPr="009B6628" w:rsidRDefault="00EC6751" w:rsidP="00207878">
            <w:pPr>
              <w:spacing w:after="0"/>
              <w:rPr>
                <w:rFonts w:ascii="Arial" w:hAnsi="Arial" w:cs="Arial"/>
                <w:color w:val="000000"/>
                <w:sz w:val="18"/>
                <w:szCs w:val="18"/>
              </w:rPr>
            </w:pPr>
            <w:r>
              <w:rPr>
                <w:rFonts w:ascii="Arial" w:hAnsi="Arial" w:cs="Arial"/>
                <w:color w:val="000000"/>
                <w:sz w:val="18"/>
                <w:szCs w:val="18"/>
              </w:rPr>
              <w:t xml:space="preserve">          </w:t>
            </w:r>
            <w:r w:rsidR="00046DFF">
              <w:rPr>
                <w:rFonts w:ascii="Arial" w:hAnsi="Arial" w:cs="Arial"/>
                <w:color w:val="000000"/>
                <w:sz w:val="18"/>
                <w:szCs w:val="18"/>
              </w:rPr>
              <w:t xml:space="preserve">  </w:t>
            </w:r>
            <w:r w:rsidR="00207878">
              <w:rPr>
                <w:rFonts w:ascii="Arial" w:hAnsi="Arial" w:cs="Arial"/>
                <w:color w:val="000000"/>
                <w:sz w:val="18"/>
                <w:szCs w:val="18"/>
                <w:vertAlign w:val="superscript"/>
              </w:rPr>
              <w:t>3</w:t>
            </w:r>
            <w:r w:rsidR="001A7D86">
              <w:rPr>
                <w:rFonts w:ascii="Arial" w:hAnsi="Arial" w:cs="Arial"/>
                <w:color w:val="000000"/>
                <w:sz w:val="18"/>
                <w:szCs w:val="18"/>
              </w:rPr>
              <w:t xml:space="preserve"> </w:t>
            </w:r>
            <w:r w:rsidR="00207878">
              <w:rPr>
                <w:rFonts w:ascii="Arial" w:hAnsi="Arial" w:cs="Arial"/>
                <w:color w:val="000000"/>
                <w:sz w:val="18"/>
                <w:szCs w:val="18"/>
              </w:rPr>
              <w:t>Max conducted power</w:t>
            </w:r>
          </w:p>
        </w:tc>
      </w:tr>
    </w:tbl>
    <w:p w:rsidR="00046DFF" w:rsidRDefault="008E39CA" w:rsidP="00162DBD">
      <w:pPr>
        <w:spacing w:after="0"/>
        <w:rPr>
          <w:lang w:val="en-US" w:eastAsia="zh-CN"/>
        </w:rPr>
      </w:pPr>
      <w:r>
        <w:rPr>
          <w:lang w:val="en-US" w:eastAsia="zh-CN"/>
        </w:rPr>
        <w:t>Starting with the number of arrays found in the UE, only Sony and D</w:t>
      </w:r>
      <w:r w:rsidR="00046DFF">
        <w:rPr>
          <w:lang w:val="en-US" w:eastAsia="zh-CN"/>
        </w:rPr>
        <w:t>OCOMO</w:t>
      </w:r>
      <w:r>
        <w:rPr>
          <w:lang w:val="en-US" w:eastAsia="zh-CN"/>
        </w:rPr>
        <w:t xml:space="preserve"> provide any information. Whether the antennas are enclosed is not explicitly s</w:t>
      </w:r>
      <w:r w:rsidR="00046DFF">
        <w:rPr>
          <w:lang w:val="en-US" w:eastAsia="zh-CN"/>
        </w:rPr>
        <w:t xml:space="preserve">tated in most papers, though </w:t>
      </w:r>
      <w:r w:rsidR="003C182B">
        <w:rPr>
          <w:lang w:val="en-US" w:eastAsia="zh-CN"/>
        </w:rPr>
        <w:t xml:space="preserve">is often </w:t>
      </w:r>
      <w:r w:rsidR="00046DFF">
        <w:rPr>
          <w:lang w:val="en-US" w:eastAsia="zh-CN"/>
        </w:rPr>
        <w:t>found in a loss parameter (</w:t>
      </w:r>
      <w:r>
        <w:rPr>
          <w:lang w:val="en-US" w:eastAsia="zh-CN"/>
        </w:rPr>
        <w:t>cover or case loss)</w:t>
      </w:r>
      <w:r w:rsidR="00046DFF">
        <w:rPr>
          <w:lang w:val="en-US" w:eastAsia="zh-CN"/>
        </w:rPr>
        <w:t xml:space="preserve"> or implementation (</w:t>
      </w:r>
      <w:r w:rsidR="003C182B">
        <w:rPr>
          <w:lang w:val="en-US" w:eastAsia="zh-CN"/>
        </w:rPr>
        <w:t xml:space="preserve">those </w:t>
      </w:r>
      <w:r w:rsidR="00046DFF">
        <w:rPr>
          <w:lang w:val="en-US" w:eastAsia="zh-CN"/>
        </w:rPr>
        <w:t xml:space="preserve">listed as </w:t>
      </w:r>
      <w:r w:rsidR="003C182B">
        <w:rPr>
          <w:lang w:val="en-US" w:eastAsia="zh-CN"/>
        </w:rPr>
        <w:t>“no data”)</w:t>
      </w:r>
      <w:r>
        <w:rPr>
          <w:lang w:val="en-US" w:eastAsia="zh-CN"/>
        </w:rPr>
        <w:t xml:space="preserve">. </w:t>
      </w:r>
      <w:r w:rsidR="00046DFF">
        <w:rPr>
          <w:lang w:val="en-US" w:eastAsia="zh-CN"/>
        </w:rPr>
        <w:t xml:space="preserve">However, this does not mean it was included in the simulation. </w:t>
      </w:r>
      <w:r>
        <w:rPr>
          <w:lang w:val="en-US" w:eastAsia="zh-CN"/>
        </w:rPr>
        <w:t>The specific materials used in the simulations are not typically discussed either.</w:t>
      </w:r>
      <w:r w:rsidR="00046DFF">
        <w:rPr>
          <w:lang w:val="en-US" w:eastAsia="zh-CN"/>
        </w:rPr>
        <w:t xml:space="preserve"> Similarly, whenever materials are mentioned, it is in context of their presence in a loss parameter, not necessarily if they were used in the simulation environment.</w:t>
      </w:r>
      <w:r>
        <w:rPr>
          <w:lang w:val="en-US" w:eastAsia="zh-CN"/>
        </w:rPr>
        <w:t xml:space="preserve"> </w:t>
      </w:r>
    </w:p>
    <w:p w:rsidR="00046DFF" w:rsidRDefault="00046DFF" w:rsidP="00162DBD">
      <w:pPr>
        <w:spacing w:after="0"/>
        <w:rPr>
          <w:lang w:val="en-US" w:eastAsia="zh-CN"/>
        </w:rPr>
      </w:pPr>
    </w:p>
    <w:p w:rsidR="00A2741E" w:rsidRDefault="00046DFF" w:rsidP="00162DBD">
      <w:pPr>
        <w:spacing w:after="0"/>
        <w:rPr>
          <w:lang w:val="en-US" w:eastAsia="zh-CN"/>
        </w:rPr>
      </w:pPr>
      <w:r>
        <w:rPr>
          <w:lang w:val="en-US" w:eastAsia="zh-CN"/>
        </w:rPr>
        <w:t>From the results i</w:t>
      </w:r>
      <w:r w:rsidR="008E39CA">
        <w:rPr>
          <w:lang w:val="en-US" w:eastAsia="zh-CN"/>
        </w:rPr>
        <w:t xml:space="preserve">n the </w:t>
      </w:r>
      <w:r>
        <w:rPr>
          <w:lang w:val="en-US" w:eastAsia="zh-CN"/>
        </w:rPr>
        <w:t>T</w:t>
      </w:r>
      <w:r w:rsidR="008E39CA">
        <w:rPr>
          <w:lang w:val="en-US" w:eastAsia="zh-CN"/>
        </w:rPr>
        <w:t>able</w:t>
      </w:r>
      <w:r>
        <w:rPr>
          <w:lang w:val="en-US" w:eastAsia="zh-CN"/>
        </w:rPr>
        <w:t xml:space="preserve"> 1</w:t>
      </w:r>
      <w:r w:rsidR="008E39CA">
        <w:rPr>
          <w:lang w:val="en-US" w:eastAsia="zh-CN"/>
        </w:rPr>
        <w:t xml:space="preserve">, we see significant variability in the PA output power, which is then reflected in the final CDF profile. </w:t>
      </w:r>
      <w:r w:rsidR="00602AE7">
        <w:rPr>
          <w:lang w:val="en-US" w:eastAsia="zh-CN"/>
        </w:rPr>
        <w:t xml:space="preserve">For power class definition, details such as fixed or mobile, dual or single polarization, impact the results and </w:t>
      </w:r>
      <w:r>
        <w:rPr>
          <w:lang w:val="en-US" w:eastAsia="zh-CN"/>
        </w:rPr>
        <w:t xml:space="preserve">thus </w:t>
      </w:r>
      <w:r w:rsidR="00602AE7">
        <w:rPr>
          <w:lang w:val="en-US" w:eastAsia="zh-CN"/>
        </w:rPr>
        <w:t>must</w:t>
      </w:r>
      <w:r>
        <w:rPr>
          <w:lang w:val="en-US" w:eastAsia="zh-CN"/>
        </w:rPr>
        <w:t xml:space="preserve"> </w:t>
      </w:r>
      <w:r w:rsidR="00602AE7">
        <w:rPr>
          <w:lang w:val="en-US" w:eastAsia="zh-CN"/>
        </w:rPr>
        <w:t xml:space="preserve">be reported. </w:t>
      </w:r>
      <w:r w:rsidR="008E39CA">
        <w:rPr>
          <w:lang w:val="en-US" w:eastAsia="zh-CN"/>
        </w:rPr>
        <w:t xml:space="preserve">Also, </w:t>
      </w:r>
      <w:r>
        <w:rPr>
          <w:lang w:val="en-US" w:eastAsia="zh-CN"/>
        </w:rPr>
        <w:t xml:space="preserve">for the majority of the contributions, how </w:t>
      </w:r>
      <w:r w:rsidR="008E39CA">
        <w:rPr>
          <w:lang w:val="en-US" w:eastAsia="zh-CN"/>
        </w:rPr>
        <w:t xml:space="preserve">the CDF spatial coverage </w:t>
      </w:r>
      <w:r>
        <w:rPr>
          <w:lang w:val="en-US" w:eastAsia="zh-CN"/>
        </w:rPr>
        <w:t xml:space="preserve">was approached </w:t>
      </w:r>
      <w:r w:rsidR="008E39CA">
        <w:rPr>
          <w:lang w:val="en-US" w:eastAsia="zh-CN"/>
        </w:rPr>
        <w:t>is not discussed</w:t>
      </w:r>
      <w:r w:rsidR="00FE7F36">
        <w:rPr>
          <w:lang w:val="en-US" w:eastAsia="zh-CN"/>
        </w:rPr>
        <w:t xml:space="preserve">. </w:t>
      </w:r>
      <w:r>
        <w:rPr>
          <w:lang w:val="en-US" w:eastAsia="zh-CN"/>
        </w:rPr>
        <w:t>The f</w:t>
      </w:r>
      <w:r w:rsidR="00B44DF6">
        <w:rPr>
          <w:lang w:val="en-US" w:eastAsia="zh-CN"/>
        </w:rPr>
        <w:t>inal r</w:t>
      </w:r>
      <w:r w:rsidR="00FE7F36">
        <w:rPr>
          <w:lang w:val="en-US" w:eastAsia="zh-CN"/>
        </w:rPr>
        <w:t xml:space="preserve">esults will change if focus </w:t>
      </w:r>
      <w:r w:rsidR="00B44DF6">
        <w:rPr>
          <w:lang w:val="en-US" w:eastAsia="zh-CN"/>
        </w:rPr>
        <w:t xml:space="preserve">is </w:t>
      </w:r>
      <w:r w:rsidR="00FE7F36">
        <w:rPr>
          <w:lang w:val="en-US" w:eastAsia="zh-CN"/>
        </w:rPr>
        <w:t>only</w:t>
      </w:r>
      <w:r>
        <w:rPr>
          <w:lang w:val="en-US" w:eastAsia="zh-CN"/>
        </w:rPr>
        <w:t xml:space="preserve"> on</w:t>
      </w:r>
      <w:r w:rsidR="00FE7F36">
        <w:rPr>
          <w:lang w:val="en-US" w:eastAsia="zh-CN"/>
        </w:rPr>
        <w:t xml:space="preserve"> the main beamwidth, as opposed to the entire sphere. </w:t>
      </w:r>
      <w:r>
        <w:rPr>
          <w:lang w:val="en-US" w:eastAsia="zh-CN"/>
        </w:rPr>
        <w:t>Regardless, the o</w:t>
      </w:r>
      <w:r w:rsidR="00FE7F36">
        <w:rPr>
          <w:lang w:val="en-US" w:eastAsia="zh-CN"/>
        </w:rPr>
        <w:t xml:space="preserve">verall trend observed for the 50%-tile point is around 26 dBm. </w:t>
      </w:r>
    </w:p>
    <w:p w:rsidR="00A2741E" w:rsidRDefault="00A2741E" w:rsidP="00162DBD">
      <w:pPr>
        <w:spacing w:after="0"/>
        <w:rPr>
          <w:lang w:val="en-US" w:eastAsia="zh-CN"/>
        </w:rPr>
      </w:pPr>
    </w:p>
    <w:p w:rsidR="00A2741E" w:rsidRDefault="00FE7F36" w:rsidP="00162DBD">
      <w:pPr>
        <w:spacing w:after="0"/>
        <w:rPr>
          <w:lang w:val="en-US" w:eastAsia="zh-CN"/>
        </w:rPr>
      </w:pPr>
      <w:r w:rsidRPr="00FE7F36">
        <w:rPr>
          <w:b/>
          <w:lang w:val="en-US" w:eastAsia="zh-CN"/>
        </w:rPr>
        <w:t>Observation 1:</w:t>
      </w:r>
      <w:r>
        <w:rPr>
          <w:lang w:val="en-US" w:eastAsia="zh-CN"/>
        </w:rPr>
        <w:t xml:space="preserve"> To avoid greater variability in reported results, PA output power should be reported and agreed upon.</w:t>
      </w:r>
      <w:r w:rsidR="00B44DF6">
        <w:rPr>
          <w:lang w:val="en-US" w:eastAsia="zh-CN"/>
        </w:rPr>
        <w:t xml:space="preserve"> </w:t>
      </w:r>
    </w:p>
    <w:p w:rsidR="00046DFF" w:rsidRDefault="00046DFF" w:rsidP="00162DBD">
      <w:pPr>
        <w:spacing w:after="0"/>
        <w:rPr>
          <w:b/>
          <w:lang w:val="en-US" w:eastAsia="zh-CN"/>
        </w:rPr>
      </w:pPr>
    </w:p>
    <w:p w:rsidR="00FE7F36" w:rsidRDefault="00FE7F36" w:rsidP="00162DBD">
      <w:pPr>
        <w:spacing w:after="0"/>
        <w:rPr>
          <w:lang w:val="en-US" w:eastAsia="zh-CN"/>
        </w:rPr>
      </w:pPr>
      <w:r w:rsidRPr="00FE7F36">
        <w:rPr>
          <w:b/>
          <w:lang w:val="en-US" w:eastAsia="zh-CN"/>
        </w:rPr>
        <w:t>Observation 2:</w:t>
      </w:r>
      <w:r>
        <w:rPr>
          <w:lang w:val="en-US" w:eastAsia="zh-CN"/>
        </w:rPr>
        <w:t xml:space="preserve"> All CDF simulations should assume similar parameters. Alignment on these parameters is vital for proper comparison across reported results.</w:t>
      </w:r>
    </w:p>
    <w:p w:rsidR="00EB59BB" w:rsidRDefault="00EB59BB" w:rsidP="007565A7">
      <w:pPr>
        <w:spacing w:after="240"/>
        <w:jc w:val="center"/>
        <w:rPr>
          <w:lang w:val="en-US" w:eastAsia="zh-CN"/>
        </w:rPr>
      </w:pPr>
      <w:r w:rsidRPr="000457D3">
        <w:rPr>
          <w:b/>
        </w:rPr>
        <w:lastRenderedPageBreak/>
        <w:t xml:space="preserve">Table </w:t>
      </w:r>
      <w:r>
        <w:rPr>
          <w:b/>
        </w:rPr>
        <w:t>2</w:t>
      </w:r>
      <w:r w:rsidRPr="000457D3">
        <w:rPr>
          <w:b/>
        </w:rPr>
        <w:t xml:space="preserve">: </w:t>
      </w:r>
      <w:r>
        <w:rPr>
          <w:b/>
        </w:rPr>
        <w:t>Reported results for RAN4 AH #3</w:t>
      </w:r>
    </w:p>
    <w:p w:rsidR="00EB59BB" w:rsidRPr="007565A7" w:rsidRDefault="00EB59BB" w:rsidP="00162DBD">
      <w:pPr>
        <w:spacing w:after="0"/>
        <w:rPr>
          <w:sz w:val="10"/>
          <w:szCs w:val="10"/>
          <w:lang w:val="en-US" w:eastAsia="zh-CN"/>
        </w:rPr>
      </w:pPr>
    </w:p>
    <w:p w:rsidR="00EB59BB" w:rsidRPr="007565A7" w:rsidRDefault="00EB59BB" w:rsidP="00162DBD">
      <w:pPr>
        <w:spacing w:after="0"/>
        <w:rPr>
          <w:sz w:val="10"/>
          <w:szCs w:val="10"/>
          <w:lang w:val="en-US" w:eastAsia="zh-CN"/>
        </w:rPr>
      </w:pPr>
    </w:p>
    <w:p w:rsidR="00EB59BB" w:rsidRPr="007565A7" w:rsidRDefault="00EB59BB" w:rsidP="00162DBD">
      <w:pPr>
        <w:spacing w:after="0"/>
        <w:rPr>
          <w:sz w:val="10"/>
          <w:szCs w:val="10"/>
          <w:lang w:val="en-US" w:eastAsia="zh-CN"/>
        </w:rPr>
      </w:pPr>
    </w:p>
    <w:tbl>
      <w:tblPr>
        <w:tblStyle w:val="TableGrid"/>
        <w:tblpPr w:leftFromText="180" w:rightFromText="180" w:vertAnchor="text" w:horzAnchor="margin" w:tblpXSpec="center" w:tblpY="-475"/>
        <w:tblOverlap w:val="never"/>
        <w:tblW w:w="10980" w:type="dxa"/>
        <w:tblLook w:val="04A0" w:firstRow="1" w:lastRow="0" w:firstColumn="1" w:lastColumn="0" w:noHBand="0" w:noVBand="1"/>
      </w:tblPr>
      <w:tblGrid>
        <w:gridCol w:w="1632"/>
        <w:gridCol w:w="1102"/>
        <w:gridCol w:w="1324"/>
        <w:gridCol w:w="1317"/>
        <w:gridCol w:w="1285"/>
        <w:gridCol w:w="1350"/>
        <w:gridCol w:w="810"/>
        <w:gridCol w:w="810"/>
        <w:gridCol w:w="1350"/>
      </w:tblGrid>
      <w:tr w:rsidR="00A97A18" w:rsidTr="007565A7">
        <w:tc>
          <w:tcPr>
            <w:tcW w:w="1632" w:type="dxa"/>
            <w:tcBorders>
              <w:top w:val="nil"/>
              <w:left w:val="nil"/>
              <w:right w:val="nil"/>
            </w:tcBorders>
            <w:vAlign w:val="center"/>
          </w:tcPr>
          <w:p w:rsidR="00A97A18" w:rsidRPr="009B6628" w:rsidRDefault="00A97A18" w:rsidP="00C51C96">
            <w:pPr>
              <w:spacing w:after="0"/>
              <w:jc w:val="center"/>
              <w:rPr>
                <w:rFonts w:ascii="Arial" w:hAnsi="Arial" w:cs="Arial"/>
                <w:sz w:val="18"/>
                <w:szCs w:val="18"/>
                <w:lang w:val="en-US" w:eastAsia="en-US"/>
              </w:rPr>
            </w:pPr>
          </w:p>
        </w:tc>
        <w:tc>
          <w:tcPr>
            <w:tcW w:w="9348" w:type="dxa"/>
            <w:gridSpan w:val="8"/>
            <w:tcBorders>
              <w:top w:val="double" w:sz="12" w:space="0" w:color="auto"/>
              <w:left w:val="nil"/>
              <w:right w:val="nil"/>
            </w:tcBorders>
          </w:tcPr>
          <w:p w:rsidR="00A97A18" w:rsidRPr="009B6628" w:rsidRDefault="00A97A18" w:rsidP="00C51C96">
            <w:pPr>
              <w:spacing w:after="0"/>
              <w:jc w:val="center"/>
              <w:rPr>
                <w:rFonts w:ascii="Arial" w:hAnsi="Arial" w:cs="Arial"/>
                <w:b/>
                <w:sz w:val="18"/>
                <w:szCs w:val="18"/>
                <w:lang w:val="en-US" w:eastAsia="en-US"/>
              </w:rPr>
            </w:pPr>
            <w:r w:rsidRPr="009B6628">
              <w:rPr>
                <w:rFonts w:ascii="Arial" w:hAnsi="Arial" w:cs="Arial"/>
                <w:b/>
                <w:sz w:val="18"/>
                <w:szCs w:val="18"/>
                <w:lang w:val="en-US" w:eastAsia="en-US"/>
              </w:rPr>
              <w:t>Source</w:t>
            </w:r>
          </w:p>
        </w:tc>
      </w:tr>
      <w:tr w:rsidR="00F9041E" w:rsidTr="00B74D52">
        <w:trPr>
          <w:trHeight w:val="288"/>
        </w:trPr>
        <w:tc>
          <w:tcPr>
            <w:tcW w:w="1632" w:type="dxa"/>
            <w:tcBorders>
              <w:left w:val="nil"/>
            </w:tcBorders>
            <w:vAlign w:val="center"/>
          </w:tcPr>
          <w:p w:rsidR="00F9041E" w:rsidRPr="009B6628" w:rsidRDefault="00F9041E" w:rsidP="00F9041E">
            <w:pPr>
              <w:spacing w:after="0"/>
              <w:rPr>
                <w:rFonts w:ascii="Arial" w:hAnsi="Arial" w:cs="Arial"/>
                <w:b/>
                <w:sz w:val="18"/>
                <w:szCs w:val="18"/>
                <w:lang w:val="en-US" w:eastAsia="en-US"/>
              </w:rPr>
            </w:pPr>
            <w:r w:rsidRPr="009B6628">
              <w:rPr>
                <w:rFonts w:ascii="Arial" w:hAnsi="Arial" w:cs="Arial"/>
                <w:b/>
                <w:sz w:val="18"/>
                <w:szCs w:val="18"/>
                <w:lang w:val="en-US" w:eastAsia="en-US"/>
              </w:rPr>
              <w:t>Parameter</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sz w:val="18"/>
                <w:szCs w:val="18"/>
                <w:lang w:val="en-US" w:eastAsia="en-US"/>
              </w:rPr>
              <w:t>Intel</w:t>
            </w:r>
          </w:p>
        </w:tc>
        <w:tc>
          <w:tcPr>
            <w:tcW w:w="1324"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MediaTek</w:t>
            </w:r>
          </w:p>
        </w:tc>
        <w:tc>
          <w:tcPr>
            <w:tcW w:w="1317" w:type="dxa"/>
            <w:vAlign w:val="center"/>
          </w:tcPr>
          <w:p w:rsidR="00F9041E"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Qualcomm</w:t>
            </w:r>
          </w:p>
        </w:tc>
        <w:tc>
          <w:tcPr>
            <w:tcW w:w="1285"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LG</w:t>
            </w:r>
          </w:p>
        </w:tc>
        <w:tc>
          <w:tcPr>
            <w:tcW w:w="1350" w:type="dxa"/>
            <w:vAlign w:val="center"/>
          </w:tcPr>
          <w:p w:rsidR="00F9041E"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Huawei</w:t>
            </w:r>
          </w:p>
        </w:tc>
        <w:tc>
          <w:tcPr>
            <w:tcW w:w="1620" w:type="dxa"/>
            <w:gridSpan w:val="2"/>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Sony</w:t>
            </w:r>
          </w:p>
        </w:tc>
        <w:tc>
          <w:tcPr>
            <w:tcW w:w="1350" w:type="dxa"/>
            <w:tcBorders>
              <w:right w:val="nil"/>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Docomo</w:t>
            </w:r>
          </w:p>
        </w:tc>
      </w:tr>
      <w:tr w:rsidR="00F9041E" w:rsidTr="00B74D52">
        <w:tc>
          <w:tcPr>
            <w:tcW w:w="1632" w:type="dxa"/>
            <w:tcBorders>
              <w:left w:val="nil"/>
            </w:tcBorders>
            <w:vAlign w:val="center"/>
          </w:tcPr>
          <w:p w:rsidR="00F9041E" w:rsidRPr="009B6628" w:rsidRDefault="00F9041E" w:rsidP="00F9041E">
            <w:pPr>
              <w:spacing w:after="0"/>
              <w:rPr>
                <w:rFonts w:ascii="Arial" w:hAnsi="Arial" w:cs="Arial"/>
                <w:sz w:val="18"/>
                <w:szCs w:val="18"/>
                <w:lang w:val="en-US" w:eastAsia="en-US"/>
              </w:rPr>
            </w:pPr>
            <w:r w:rsidRPr="009B6628">
              <w:rPr>
                <w:rFonts w:ascii="Arial" w:hAnsi="Arial" w:cs="Arial"/>
                <w:color w:val="000000"/>
                <w:sz w:val="18"/>
                <w:szCs w:val="18"/>
              </w:rPr>
              <w:t># antenna arrays in DUT</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color w:val="000000"/>
                <w:sz w:val="18"/>
                <w:szCs w:val="18"/>
              </w:rPr>
              <w:t>FFS</w:t>
            </w:r>
          </w:p>
        </w:tc>
        <w:tc>
          <w:tcPr>
            <w:tcW w:w="1324"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1</w:t>
            </w:r>
          </w:p>
        </w:tc>
        <w:tc>
          <w:tcPr>
            <w:tcW w:w="1317" w:type="dxa"/>
            <w:vAlign w:val="center"/>
          </w:tcPr>
          <w:p w:rsidR="00F9041E" w:rsidRDefault="00F9041E" w:rsidP="00F9041E">
            <w:pPr>
              <w:spacing w:after="0"/>
              <w:jc w:val="center"/>
              <w:rPr>
                <w:rFonts w:ascii="Arial" w:hAnsi="Arial" w:cs="Arial"/>
                <w:color w:val="000000"/>
                <w:sz w:val="18"/>
                <w:szCs w:val="18"/>
              </w:rPr>
            </w:pPr>
            <w:r w:rsidRPr="009B6628">
              <w:rPr>
                <w:rFonts w:ascii="Arial" w:hAnsi="Arial" w:cs="Arial"/>
                <w:color w:val="000000"/>
                <w:sz w:val="18"/>
                <w:szCs w:val="18"/>
              </w:rPr>
              <w:t>no data</w:t>
            </w:r>
          </w:p>
        </w:tc>
        <w:tc>
          <w:tcPr>
            <w:tcW w:w="1285"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3</w:t>
            </w:r>
          </w:p>
        </w:tc>
        <w:tc>
          <w:tcPr>
            <w:tcW w:w="1350" w:type="dxa"/>
            <w:vAlign w:val="center"/>
          </w:tcPr>
          <w:p w:rsidR="00F9041E"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no data</w:t>
            </w:r>
          </w:p>
        </w:tc>
        <w:tc>
          <w:tcPr>
            <w:tcW w:w="810"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UE1=2</w:t>
            </w:r>
          </w:p>
        </w:tc>
        <w:tc>
          <w:tcPr>
            <w:tcW w:w="810"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UE2=3</w:t>
            </w:r>
          </w:p>
        </w:tc>
        <w:tc>
          <w:tcPr>
            <w:tcW w:w="1350" w:type="dxa"/>
            <w:tcBorders>
              <w:right w:val="nil"/>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2</w:t>
            </w:r>
          </w:p>
        </w:tc>
      </w:tr>
      <w:tr w:rsidR="00F9041E" w:rsidTr="00B74D52">
        <w:tc>
          <w:tcPr>
            <w:tcW w:w="1632" w:type="dxa"/>
            <w:tcBorders>
              <w:left w:val="nil"/>
            </w:tcBorders>
            <w:vAlign w:val="center"/>
          </w:tcPr>
          <w:p w:rsidR="00F9041E" w:rsidRPr="009B6628" w:rsidRDefault="00F9041E" w:rsidP="00F9041E">
            <w:pPr>
              <w:spacing w:after="0"/>
              <w:rPr>
                <w:rFonts w:ascii="Arial" w:hAnsi="Arial" w:cs="Arial"/>
                <w:sz w:val="18"/>
                <w:szCs w:val="18"/>
                <w:lang w:val="en-US" w:eastAsia="en-US"/>
              </w:rPr>
            </w:pPr>
            <w:r w:rsidRPr="009B6628">
              <w:rPr>
                <w:rFonts w:ascii="Arial" w:hAnsi="Arial" w:cs="Arial"/>
                <w:color w:val="000000"/>
                <w:sz w:val="18"/>
                <w:szCs w:val="18"/>
              </w:rPr>
              <w:t>enclosure around antennas</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n</w:t>
            </w:r>
            <w:r w:rsidRPr="009B6628">
              <w:rPr>
                <w:rFonts w:ascii="Arial" w:hAnsi="Arial" w:cs="Arial"/>
                <w:color w:val="000000"/>
                <w:sz w:val="18"/>
                <w:szCs w:val="18"/>
              </w:rPr>
              <w:t>o</w:t>
            </w:r>
            <w:r>
              <w:rPr>
                <w:rFonts w:ascii="Arial" w:hAnsi="Arial" w:cs="Arial"/>
                <w:color w:val="000000"/>
                <w:sz w:val="18"/>
                <w:szCs w:val="18"/>
              </w:rPr>
              <w:t xml:space="preserve"> data</w:t>
            </w:r>
          </w:p>
        </w:tc>
        <w:tc>
          <w:tcPr>
            <w:tcW w:w="1324" w:type="dxa"/>
            <w:vAlign w:val="center"/>
          </w:tcPr>
          <w:p w:rsidR="00F9041E" w:rsidRPr="009B6628" w:rsidRDefault="00B74D52" w:rsidP="00F9041E">
            <w:pPr>
              <w:spacing w:after="0"/>
              <w:jc w:val="center"/>
              <w:rPr>
                <w:rFonts w:ascii="Arial" w:hAnsi="Arial" w:cs="Arial"/>
                <w:sz w:val="18"/>
                <w:szCs w:val="18"/>
                <w:lang w:val="en-US" w:eastAsia="en-US"/>
              </w:rPr>
            </w:pPr>
            <w:r>
              <w:rPr>
                <w:rFonts w:ascii="Arial" w:hAnsi="Arial" w:cs="Arial"/>
                <w:color w:val="000000"/>
                <w:sz w:val="18"/>
                <w:szCs w:val="18"/>
              </w:rPr>
              <w:t>case loss</w:t>
            </w:r>
          </w:p>
        </w:tc>
        <w:tc>
          <w:tcPr>
            <w:tcW w:w="1317" w:type="dxa"/>
            <w:vAlign w:val="center"/>
          </w:tcPr>
          <w:p w:rsidR="00F9041E" w:rsidRPr="009B6628" w:rsidRDefault="00B74D52" w:rsidP="00F9041E">
            <w:pPr>
              <w:spacing w:after="0"/>
              <w:jc w:val="center"/>
              <w:rPr>
                <w:rFonts w:ascii="Arial" w:hAnsi="Arial" w:cs="Arial"/>
                <w:color w:val="000000"/>
                <w:sz w:val="18"/>
                <w:szCs w:val="18"/>
              </w:rPr>
            </w:pPr>
            <w:r>
              <w:rPr>
                <w:rFonts w:ascii="Arial" w:hAnsi="Arial" w:cs="Arial"/>
                <w:color w:val="000000"/>
                <w:sz w:val="18"/>
                <w:szCs w:val="18"/>
              </w:rPr>
              <w:t>plastic loss</w:t>
            </w:r>
          </w:p>
        </w:tc>
        <w:tc>
          <w:tcPr>
            <w:tcW w:w="1285" w:type="dxa"/>
            <w:vAlign w:val="center"/>
          </w:tcPr>
          <w:p w:rsidR="00F9041E" w:rsidRPr="00B74D52" w:rsidRDefault="00B74D52" w:rsidP="00F9041E">
            <w:pPr>
              <w:spacing w:after="0"/>
              <w:jc w:val="center"/>
              <w:rPr>
                <w:rFonts w:ascii="Arial" w:hAnsi="Arial" w:cs="Arial"/>
                <w:color w:val="000000"/>
                <w:sz w:val="18"/>
                <w:szCs w:val="18"/>
              </w:rPr>
            </w:pPr>
            <w:r>
              <w:rPr>
                <w:rFonts w:ascii="Arial" w:hAnsi="Arial" w:cs="Arial"/>
                <w:color w:val="000000"/>
                <w:sz w:val="18"/>
                <w:szCs w:val="18"/>
              </w:rPr>
              <w:t>case loss</w:t>
            </w:r>
          </w:p>
        </w:tc>
        <w:tc>
          <w:tcPr>
            <w:tcW w:w="1350" w:type="dxa"/>
            <w:vAlign w:val="center"/>
          </w:tcPr>
          <w:p w:rsidR="00F9041E" w:rsidRDefault="00B74D52" w:rsidP="00F9041E">
            <w:pPr>
              <w:spacing w:after="0"/>
              <w:jc w:val="center"/>
              <w:rPr>
                <w:rFonts w:ascii="Arial" w:hAnsi="Arial" w:cs="Arial"/>
                <w:color w:val="000000"/>
                <w:sz w:val="18"/>
                <w:szCs w:val="18"/>
              </w:rPr>
            </w:pPr>
            <w:r>
              <w:rPr>
                <w:rFonts w:ascii="Arial" w:hAnsi="Arial" w:cs="Arial"/>
                <w:color w:val="000000"/>
                <w:sz w:val="18"/>
                <w:szCs w:val="18"/>
              </w:rPr>
              <w:t>cover loss</w:t>
            </w:r>
          </w:p>
        </w:tc>
        <w:tc>
          <w:tcPr>
            <w:tcW w:w="1620" w:type="dxa"/>
            <w:gridSpan w:val="2"/>
            <w:vAlign w:val="center"/>
          </w:tcPr>
          <w:p w:rsidR="00F9041E" w:rsidRPr="009B6628" w:rsidRDefault="00A45226" w:rsidP="00F9041E">
            <w:pPr>
              <w:spacing w:after="0"/>
              <w:jc w:val="center"/>
              <w:rPr>
                <w:rFonts w:ascii="Arial" w:hAnsi="Arial" w:cs="Arial"/>
                <w:sz w:val="18"/>
                <w:szCs w:val="18"/>
                <w:lang w:val="en-US" w:eastAsia="en-US"/>
              </w:rPr>
            </w:pPr>
            <w:r>
              <w:rPr>
                <w:rFonts w:ascii="Arial" w:hAnsi="Arial" w:cs="Arial"/>
                <w:color w:val="000000"/>
                <w:sz w:val="18"/>
                <w:szCs w:val="18"/>
              </w:rPr>
              <w:t>case loss</w:t>
            </w:r>
          </w:p>
        </w:tc>
        <w:tc>
          <w:tcPr>
            <w:tcW w:w="1350" w:type="dxa"/>
            <w:tcBorders>
              <w:right w:val="nil"/>
            </w:tcBorders>
            <w:vAlign w:val="center"/>
          </w:tcPr>
          <w:p w:rsidR="00F9041E" w:rsidRPr="009B6628" w:rsidRDefault="00B74D52" w:rsidP="00F9041E">
            <w:pPr>
              <w:spacing w:after="0"/>
              <w:jc w:val="center"/>
              <w:rPr>
                <w:rFonts w:ascii="Arial" w:hAnsi="Arial" w:cs="Arial"/>
                <w:sz w:val="18"/>
                <w:szCs w:val="18"/>
                <w:lang w:val="en-US" w:eastAsia="en-US"/>
              </w:rPr>
            </w:pPr>
            <w:r>
              <w:rPr>
                <w:rFonts w:ascii="Arial" w:hAnsi="Arial" w:cs="Arial"/>
                <w:color w:val="000000"/>
                <w:sz w:val="18"/>
                <w:szCs w:val="18"/>
              </w:rPr>
              <w:t>case loss</w:t>
            </w:r>
          </w:p>
        </w:tc>
      </w:tr>
      <w:tr w:rsidR="00F9041E" w:rsidTr="00B74D52">
        <w:tc>
          <w:tcPr>
            <w:tcW w:w="1632" w:type="dxa"/>
            <w:tcBorders>
              <w:left w:val="nil"/>
            </w:tcBorders>
            <w:vAlign w:val="center"/>
          </w:tcPr>
          <w:p w:rsidR="00F9041E" w:rsidRPr="009B6628" w:rsidRDefault="00F9041E" w:rsidP="00046DFF">
            <w:pPr>
              <w:spacing w:after="0"/>
              <w:rPr>
                <w:rFonts w:ascii="Arial" w:hAnsi="Arial" w:cs="Arial"/>
                <w:sz w:val="18"/>
                <w:szCs w:val="18"/>
                <w:lang w:val="en-US" w:eastAsia="en-US"/>
              </w:rPr>
            </w:pPr>
            <w:r w:rsidRPr="009B6628">
              <w:rPr>
                <w:rFonts w:ascii="Arial" w:hAnsi="Arial" w:cs="Arial"/>
                <w:color w:val="000000"/>
                <w:sz w:val="18"/>
                <w:szCs w:val="18"/>
              </w:rPr>
              <w:t xml:space="preserve">material </w:t>
            </w:r>
            <w:r w:rsidR="00046DFF">
              <w:rPr>
                <w:rFonts w:ascii="Arial" w:hAnsi="Arial" w:cs="Arial"/>
                <w:color w:val="000000"/>
                <w:sz w:val="18"/>
                <w:szCs w:val="18"/>
              </w:rPr>
              <w:t>considered</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c>
          <w:tcPr>
            <w:tcW w:w="1324"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no data</w:t>
            </w:r>
          </w:p>
        </w:tc>
        <w:tc>
          <w:tcPr>
            <w:tcW w:w="1317" w:type="dxa"/>
            <w:vAlign w:val="center"/>
          </w:tcPr>
          <w:p w:rsidR="00F9041E" w:rsidRDefault="00046DFF" w:rsidP="00F9041E">
            <w:pPr>
              <w:spacing w:after="0"/>
              <w:jc w:val="center"/>
              <w:rPr>
                <w:rFonts w:ascii="Arial" w:hAnsi="Arial" w:cs="Arial"/>
                <w:color w:val="000000"/>
                <w:sz w:val="18"/>
                <w:szCs w:val="18"/>
              </w:rPr>
            </w:pPr>
            <w:r>
              <w:rPr>
                <w:rFonts w:ascii="Arial" w:hAnsi="Arial" w:cs="Arial"/>
                <w:color w:val="000000"/>
                <w:sz w:val="18"/>
                <w:szCs w:val="18"/>
              </w:rPr>
              <w:t>P</w:t>
            </w:r>
            <w:r w:rsidR="00F9041E">
              <w:rPr>
                <w:rFonts w:ascii="Arial" w:hAnsi="Arial" w:cs="Arial"/>
                <w:color w:val="000000"/>
                <w:sz w:val="18"/>
                <w:szCs w:val="18"/>
              </w:rPr>
              <w:t>lastic</w:t>
            </w:r>
          </w:p>
        </w:tc>
        <w:tc>
          <w:tcPr>
            <w:tcW w:w="1285" w:type="dxa"/>
            <w:vAlign w:val="center"/>
          </w:tcPr>
          <w:p w:rsidR="00F9041E" w:rsidRPr="00F9041E" w:rsidRDefault="00F9041E" w:rsidP="00F9041E">
            <w:pPr>
              <w:spacing w:after="0"/>
              <w:jc w:val="center"/>
              <w:rPr>
                <w:rFonts w:ascii="Arial" w:hAnsi="Arial" w:cs="Arial"/>
                <w:color w:val="000000"/>
                <w:sz w:val="18"/>
                <w:szCs w:val="18"/>
              </w:rPr>
            </w:pPr>
            <w:r>
              <w:rPr>
                <w:rFonts w:ascii="Arial" w:hAnsi="Arial" w:cs="Arial"/>
                <w:color w:val="000000"/>
                <w:sz w:val="18"/>
                <w:szCs w:val="18"/>
              </w:rPr>
              <w:t>no data</w:t>
            </w:r>
          </w:p>
        </w:tc>
        <w:tc>
          <w:tcPr>
            <w:tcW w:w="1350" w:type="dxa"/>
            <w:vAlign w:val="center"/>
          </w:tcPr>
          <w:p w:rsidR="00F9041E" w:rsidRDefault="00B74D52" w:rsidP="00F9041E">
            <w:pPr>
              <w:spacing w:after="0"/>
              <w:jc w:val="center"/>
              <w:rPr>
                <w:rFonts w:ascii="Arial" w:hAnsi="Arial" w:cs="Arial"/>
                <w:color w:val="000000"/>
                <w:sz w:val="18"/>
                <w:szCs w:val="18"/>
              </w:rPr>
            </w:pPr>
            <w:r>
              <w:rPr>
                <w:rFonts w:ascii="Arial" w:hAnsi="Arial" w:cs="Arial"/>
                <w:color w:val="000000"/>
                <w:sz w:val="18"/>
                <w:szCs w:val="18"/>
              </w:rPr>
              <w:t>plastic/glass</w:t>
            </w:r>
          </w:p>
        </w:tc>
        <w:tc>
          <w:tcPr>
            <w:tcW w:w="1620" w:type="dxa"/>
            <w:gridSpan w:val="2"/>
            <w:vAlign w:val="center"/>
          </w:tcPr>
          <w:p w:rsidR="00F9041E" w:rsidRPr="009B6628" w:rsidRDefault="00A26018" w:rsidP="00F9041E">
            <w:pPr>
              <w:spacing w:after="0"/>
              <w:jc w:val="center"/>
              <w:rPr>
                <w:rFonts w:ascii="Arial" w:hAnsi="Arial" w:cs="Arial"/>
                <w:sz w:val="18"/>
                <w:szCs w:val="18"/>
                <w:lang w:val="en-US" w:eastAsia="en-US"/>
              </w:rPr>
            </w:pPr>
            <w:r>
              <w:rPr>
                <w:rFonts w:ascii="Arial" w:hAnsi="Arial" w:cs="Arial"/>
                <w:color w:val="000000"/>
                <w:sz w:val="18"/>
                <w:szCs w:val="18"/>
              </w:rPr>
              <w:t xml:space="preserve">  </w:t>
            </w:r>
            <w:r w:rsidR="00F9041E">
              <w:rPr>
                <w:rFonts w:ascii="Arial" w:hAnsi="Arial" w:cs="Arial"/>
                <w:color w:val="000000"/>
                <w:sz w:val="18"/>
                <w:szCs w:val="18"/>
              </w:rPr>
              <w:t>no data</w:t>
            </w:r>
            <w:r>
              <w:rPr>
                <w:rFonts w:ascii="Arial" w:hAnsi="Arial" w:cs="Arial"/>
                <w:color w:val="000000"/>
                <w:sz w:val="18"/>
                <w:szCs w:val="18"/>
              </w:rPr>
              <w:t xml:space="preserve"> </w:t>
            </w:r>
            <w:r>
              <w:rPr>
                <w:rFonts w:ascii="Arial" w:hAnsi="Arial" w:cs="Arial"/>
                <w:sz w:val="18"/>
                <w:szCs w:val="18"/>
                <w:vertAlign w:val="superscript"/>
                <w:lang w:val="en-US" w:eastAsia="en-US"/>
              </w:rPr>
              <w:t>2</w:t>
            </w:r>
          </w:p>
        </w:tc>
        <w:tc>
          <w:tcPr>
            <w:tcW w:w="1350" w:type="dxa"/>
            <w:tcBorders>
              <w:right w:val="nil"/>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no data</w:t>
            </w:r>
          </w:p>
        </w:tc>
      </w:tr>
      <w:tr w:rsidR="00F9041E" w:rsidTr="00B74D52">
        <w:tc>
          <w:tcPr>
            <w:tcW w:w="1632" w:type="dxa"/>
            <w:tcBorders>
              <w:left w:val="nil"/>
            </w:tcBorders>
            <w:vAlign w:val="center"/>
          </w:tcPr>
          <w:p w:rsidR="00F9041E" w:rsidRPr="009B6628" w:rsidRDefault="00F9041E" w:rsidP="00F9041E">
            <w:pPr>
              <w:spacing w:after="0"/>
              <w:rPr>
                <w:rFonts w:ascii="Arial" w:hAnsi="Arial" w:cs="Arial"/>
                <w:sz w:val="18"/>
                <w:szCs w:val="18"/>
                <w:lang w:val="en-US" w:eastAsia="en-US"/>
              </w:rPr>
            </w:pPr>
            <w:r w:rsidRPr="009B6628">
              <w:rPr>
                <w:rFonts w:ascii="Arial" w:hAnsi="Arial" w:cs="Arial"/>
                <w:color w:val="000000"/>
                <w:sz w:val="18"/>
                <w:szCs w:val="18"/>
              </w:rPr>
              <w:t>PA output [dBm]</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color w:val="000000"/>
                <w:sz w:val="18"/>
                <w:szCs w:val="18"/>
              </w:rPr>
              <w:t>14</w:t>
            </w:r>
          </w:p>
        </w:tc>
        <w:tc>
          <w:tcPr>
            <w:tcW w:w="1324"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9</w:t>
            </w:r>
            <w:r w:rsidR="00A97A18">
              <w:rPr>
                <w:rFonts w:ascii="Arial" w:hAnsi="Arial" w:cs="Arial"/>
                <w:color w:val="000000"/>
                <w:sz w:val="18"/>
                <w:szCs w:val="18"/>
              </w:rPr>
              <w:t xml:space="preserve"> </w:t>
            </w:r>
            <w:r w:rsidR="00397DC8" w:rsidRPr="00A97A18">
              <w:rPr>
                <w:rFonts w:ascii="Arial" w:hAnsi="Arial" w:cs="Arial"/>
                <w:b/>
                <w:color w:val="000000"/>
                <w:sz w:val="18"/>
                <w:szCs w:val="18"/>
                <w:vertAlign w:val="superscript"/>
              </w:rPr>
              <w:t>1</w:t>
            </w:r>
          </w:p>
        </w:tc>
        <w:tc>
          <w:tcPr>
            <w:tcW w:w="1317" w:type="dxa"/>
            <w:vAlign w:val="center"/>
          </w:tcPr>
          <w:p w:rsidR="00F9041E" w:rsidRDefault="00F9041E" w:rsidP="00F9041E">
            <w:pPr>
              <w:spacing w:after="0"/>
              <w:jc w:val="center"/>
              <w:rPr>
                <w:rFonts w:ascii="Arial" w:hAnsi="Arial" w:cs="Arial"/>
                <w:color w:val="000000"/>
                <w:sz w:val="18"/>
                <w:szCs w:val="18"/>
              </w:rPr>
            </w:pPr>
            <w:r>
              <w:rPr>
                <w:rFonts w:ascii="Arial" w:hAnsi="Arial" w:cs="Arial"/>
                <w:color w:val="000000"/>
                <w:sz w:val="18"/>
                <w:szCs w:val="18"/>
              </w:rPr>
              <w:t>14</w:t>
            </w:r>
          </w:p>
        </w:tc>
        <w:tc>
          <w:tcPr>
            <w:tcW w:w="1285"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17</w:t>
            </w:r>
          </w:p>
        </w:tc>
        <w:tc>
          <w:tcPr>
            <w:tcW w:w="1350" w:type="dxa"/>
            <w:vAlign w:val="center"/>
          </w:tcPr>
          <w:p w:rsidR="00F9041E" w:rsidRDefault="00F9041E" w:rsidP="00F9041E">
            <w:pPr>
              <w:spacing w:after="0"/>
              <w:jc w:val="center"/>
              <w:rPr>
                <w:rFonts w:ascii="Arial" w:hAnsi="Arial" w:cs="Arial"/>
                <w:color w:val="000000"/>
                <w:sz w:val="18"/>
                <w:szCs w:val="18"/>
              </w:rPr>
            </w:pPr>
            <w:r>
              <w:rPr>
                <w:rFonts w:ascii="Arial" w:hAnsi="Arial" w:cs="Arial"/>
                <w:color w:val="000000"/>
                <w:sz w:val="18"/>
                <w:szCs w:val="18"/>
              </w:rPr>
              <w:t>13-14</w:t>
            </w:r>
          </w:p>
        </w:tc>
        <w:tc>
          <w:tcPr>
            <w:tcW w:w="1620" w:type="dxa"/>
            <w:gridSpan w:val="2"/>
            <w:vAlign w:val="center"/>
          </w:tcPr>
          <w:p w:rsidR="00F9041E" w:rsidRPr="009B6628" w:rsidRDefault="00F9041E" w:rsidP="00A26018">
            <w:pPr>
              <w:spacing w:after="0"/>
              <w:jc w:val="center"/>
              <w:rPr>
                <w:rFonts w:ascii="Arial" w:hAnsi="Arial" w:cs="Arial"/>
                <w:sz w:val="18"/>
                <w:szCs w:val="18"/>
                <w:lang w:val="en-US" w:eastAsia="en-US"/>
              </w:rPr>
            </w:pPr>
            <w:r>
              <w:rPr>
                <w:rFonts w:ascii="Arial" w:hAnsi="Arial" w:cs="Arial"/>
                <w:color w:val="000000"/>
                <w:sz w:val="18"/>
                <w:szCs w:val="18"/>
              </w:rPr>
              <w:t>no data</w:t>
            </w:r>
          </w:p>
        </w:tc>
        <w:tc>
          <w:tcPr>
            <w:tcW w:w="1350" w:type="dxa"/>
            <w:tcBorders>
              <w:right w:val="nil"/>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13-14</w:t>
            </w:r>
          </w:p>
        </w:tc>
      </w:tr>
      <w:tr w:rsidR="00F9041E" w:rsidTr="00B74D52">
        <w:tc>
          <w:tcPr>
            <w:tcW w:w="1632" w:type="dxa"/>
            <w:tcBorders>
              <w:left w:val="nil"/>
            </w:tcBorders>
            <w:vAlign w:val="center"/>
          </w:tcPr>
          <w:p w:rsidR="00F9041E" w:rsidRPr="009B6628" w:rsidRDefault="00F9041E" w:rsidP="00F9041E">
            <w:pPr>
              <w:spacing w:after="0"/>
              <w:rPr>
                <w:rFonts w:ascii="Arial" w:hAnsi="Arial" w:cs="Arial"/>
                <w:sz w:val="18"/>
                <w:szCs w:val="18"/>
                <w:lang w:val="en-US" w:eastAsia="en-US"/>
              </w:rPr>
            </w:pPr>
            <w:r w:rsidRPr="009B6628">
              <w:rPr>
                <w:rFonts w:ascii="Arial" w:hAnsi="Arial" w:cs="Arial"/>
                <w:color w:val="000000"/>
                <w:sz w:val="18"/>
                <w:szCs w:val="18"/>
              </w:rPr>
              <w:t>spatial coverage of CDF</w:t>
            </w:r>
          </w:p>
        </w:tc>
        <w:tc>
          <w:tcPr>
            <w:tcW w:w="1102"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rPr>
              <w:t>conical ±60°</w:t>
            </w:r>
          </w:p>
        </w:tc>
        <w:tc>
          <w:tcPr>
            <w:tcW w:w="1324" w:type="dxa"/>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color w:val="000000"/>
                <w:sz w:val="18"/>
                <w:szCs w:val="18"/>
              </w:rPr>
              <w:t>no data</w:t>
            </w:r>
          </w:p>
        </w:tc>
        <w:tc>
          <w:tcPr>
            <w:tcW w:w="1317" w:type="dxa"/>
            <w:vAlign w:val="center"/>
          </w:tcPr>
          <w:p w:rsidR="00F9041E" w:rsidRDefault="00F9041E" w:rsidP="00F9041E">
            <w:pPr>
              <w:spacing w:after="0"/>
              <w:jc w:val="center"/>
              <w:rPr>
                <w:rFonts w:ascii="Arial" w:hAnsi="Arial" w:cs="Arial"/>
                <w:color w:val="000000"/>
                <w:sz w:val="18"/>
                <w:szCs w:val="18"/>
              </w:rPr>
            </w:pPr>
            <w:r>
              <w:rPr>
                <w:rFonts w:ascii="Arial" w:hAnsi="Arial" w:cs="Arial"/>
                <w:color w:val="000000"/>
                <w:sz w:val="18"/>
                <w:szCs w:val="18"/>
              </w:rPr>
              <w:t>no data</w:t>
            </w:r>
          </w:p>
        </w:tc>
        <w:tc>
          <w:tcPr>
            <w:tcW w:w="1285" w:type="dxa"/>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over sphere</w:t>
            </w:r>
          </w:p>
        </w:tc>
        <w:tc>
          <w:tcPr>
            <w:tcW w:w="1350" w:type="dxa"/>
            <w:vAlign w:val="center"/>
          </w:tcPr>
          <w:p w:rsidR="00F9041E" w:rsidRDefault="00F9041E" w:rsidP="00F9041E">
            <w:pPr>
              <w:spacing w:after="0"/>
              <w:jc w:val="center"/>
              <w:rPr>
                <w:rFonts w:ascii="Arial" w:hAnsi="Arial" w:cs="Arial"/>
                <w:color w:val="000000"/>
                <w:sz w:val="18"/>
                <w:szCs w:val="18"/>
              </w:rPr>
            </w:pPr>
            <w:r>
              <w:rPr>
                <w:rFonts w:ascii="Arial" w:hAnsi="Arial" w:cs="Arial"/>
                <w:color w:val="000000"/>
                <w:sz w:val="18"/>
                <w:szCs w:val="18"/>
              </w:rPr>
              <w:t>no data</w:t>
            </w:r>
          </w:p>
        </w:tc>
        <w:tc>
          <w:tcPr>
            <w:tcW w:w="1620" w:type="dxa"/>
            <w:gridSpan w:val="2"/>
            <w:vAlign w:val="center"/>
          </w:tcPr>
          <w:p w:rsidR="00F9041E" w:rsidRPr="009B6628" w:rsidRDefault="00A26018" w:rsidP="00F9041E">
            <w:pPr>
              <w:spacing w:after="0"/>
              <w:jc w:val="center"/>
              <w:rPr>
                <w:rFonts w:ascii="Arial" w:hAnsi="Arial" w:cs="Arial"/>
                <w:sz w:val="18"/>
                <w:szCs w:val="18"/>
                <w:lang w:val="en-US" w:eastAsia="en-US"/>
              </w:rPr>
            </w:pPr>
            <w:r>
              <w:rPr>
                <w:rFonts w:ascii="Arial" w:hAnsi="Arial" w:cs="Arial"/>
                <w:color w:val="000000"/>
                <w:sz w:val="18"/>
                <w:szCs w:val="18"/>
              </w:rPr>
              <w:t>no data</w:t>
            </w:r>
          </w:p>
        </w:tc>
        <w:tc>
          <w:tcPr>
            <w:tcW w:w="1350" w:type="dxa"/>
            <w:tcBorders>
              <w:right w:val="nil"/>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no data</w:t>
            </w:r>
          </w:p>
        </w:tc>
      </w:tr>
      <w:tr w:rsidR="00F9041E" w:rsidTr="00B74D52">
        <w:tc>
          <w:tcPr>
            <w:tcW w:w="1632" w:type="dxa"/>
            <w:tcBorders>
              <w:left w:val="nil"/>
              <w:bottom w:val="single" w:sz="12" w:space="0" w:color="auto"/>
            </w:tcBorders>
            <w:vAlign w:val="center"/>
          </w:tcPr>
          <w:p w:rsidR="00F9041E" w:rsidRPr="009B6628" w:rsidRDefault="00F9041E" w:rsidP="00F9041E">
            <w:pPr>
              <w:spacing w:after="0"/>
              <w:rPr>
                <w:rFonts w:ascii="Arial" w:hAnsi="Arial" w:cs="Arial"/>
                <w:sz w:val="18"/>
                <w:szCs w:val="18"/>
                <w:lang w:val="en-US" w:eastAsia="en-US"/>
              </w:rPr>
            </w:pPr>
            <w:r w:rsidRPr="009B6628">
              <w:rPr>
                <w:rFonts w:ascii="Arial" w:hAnsi="Arial" w:cs="Arial"/>
                <w:color w:val="000000"/>
                <w:sz w:val="18"/>
                <w:szCs w:val="18"/>
              </w:rPr>
              <w:t>50 percentile value [dBm]</w:t>
            </w:r>
          </w:p>
        </w:tc>
        <w:tc>
          <w:tcPr>
            <w:tcW w:w="1102" w:type="dxa"/>
            <w:tcBorders>
              <w:bottom w:val="single" w:sz="12" w:space="0" w:color="auto"/>
            </w:tcBorders>
            <w:vAlign w:val="center"/>
          </w:tcPr>
          <w:p w:rsidR="00F9041E" w:rsidRPr="009B6628" w:rsidRDefault="00F9041E" w:rsidP="00F9041E">
            <w:pPr>
              <w:spacing w:after="0"/>
              <w:jc w:val="center"/>
              <w:rPr>
                <w:rFonts w:ascii="Arial" w:hAnsi="Arial" w:cs="Arial"/>
                <w:sz w:val="18"/>
                <w:szCs w:val="18"/>
                <w:lang w:val="en-US" w:eastAsia="en-US"/>
              </w:rPr>
            </w:pPr>
            <w:r w:rsidRPr="009B6628">
              <w:rPr>
                <w:rFonts w:ascii="Arial" w:hAnsi="Arial" w:cs="Arial"/>
                <w:color w:val="000000"/>
                <w:sz w:val="18"/>
                <w:szCs w:val="18"/>
              </w:rPr>
              <w:t>2</w:t>
            </w:r>
            <w:r>
              <w:rPr>
                <w:rFonts w:ascii="Arial" w:hAnsi="Arial" w:cs="Arial"/>
                <w:color w:val="000000"/>
                <w:sz w:val="18"/>
                <w:szCs w:val="18"/>
              </w:rPr>
              <w:t>3</w:t>
            </w:r>
          </w:p>
        </w:tc>
        <w:tc>
          <w:tcPr>
            <w:tcW w:w="1324" w:type="dxa"/>
            <w:tcBorders>
              <w:bottom w:val="single" w:sz="12" w:space="0" w:color="auto"/>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23</w:t>
            </w:r>
          </w:p>
        </w:tc>
        <w:tc>
          <w:tcPr>
            <w:tcW w:w="1317" w:type="dxa"/>
            <w:tcBorders>
              <w:bottom w:val="single" w:sz="12" w:space="0" w:color="auto"/>
            </w:tcBorders>
            <w:vAlign w:val="center"/>
          </w:tcPr>
          <w:p w:rsidR="00F9041E" w:rsidRDefault="00F9041E" w:rsidP="00F9041E">
            <w:pPr>
              <w:spacing w:after="0"/>
              <w:jc w:val="center"/>
              <w:rPr>
                <w:rFonts w:ascii="Arial" w:hAnsi="Arial" w:cs="Arial"/>
                <w:color w:val="000000"/>
                <w:sz w:val="18"/>
                <w:szCs w:val="18"/>
              </w:rPr>
            </w:pPr>
            <w:r w:rsidRPr="009B6628">
              <w:rPr>
                <w:rFonts w:ascii="Arial" w:hAnsi="Arial" w:cs="Arial"/>
                <w:color w:val="000000"/>
                <w:sz w:val="18"/>
                <w:szCs w:val="18"/>
              </w:rPr>
              <w:t>2</w:t>
            </w:r>
            <w:r>
              <w:rPr>
                <w:rFonts w:ascii="Arial" w:hAnsi="Arial" w:cs="Arial"/>
                <w:color w:val="000000"/>
                <w:sz w:val="18"/>
                <w:szCs w:val="18"/>
              </w:rPr>
              <w:t>3</w:t>
            </w:r>
            <w:r w:rsidRPr="009B6628">
              <w:rPr>
                <w:rFonts w:ascii="Arial" w:hAnsi="Arial" w:cs="Arial"/>
                <w:color w:val="000000"/>
                <w:sz w:val="18"/>
                <w:szCs w:val="18"/>
              </w:rPr>
              <w:t>.7</w:t>
            </w:r>
          </w:p>
        </w:tc>
        <w:tc>
          <w:tcPr>
            <w:tcW w:w="1285" w:type="dxa"/>
            <w:tcBorders>
              <w:bottom w:val="single" w:sz="12" w:space="0" w:color="auto"/>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color w:val="000000"/>
                <w:sz w:val="18"/>
                <w:szCs w:val="18"/>
              </w:rPr>
              <w:t>24.8</w:t>
            </w:r>
          </w:p>
        </w:tc>
        <w:tc>
          <w:tcPr>
            <w:tcW w:w="1350" w:type="dxa"/>
            <w:tcBorders>
              <w:bottom w:val="single" w:sz="12" w:space="0" w:color="auto"/>
            </w:tcBorders>
            <w:vAlign w:val="center"/>
          </w:tcPr>
          <w:p w:rsidR="00F9041E" w:rsidRDefault="00B74D52" w:rsidP="00207878">
            <w:pPr>
              <w:spacing w:after="0"/>
              <w:jc w:val="center"/>
              <w:rPr>
                <w:rFonts w:ascii="Arial" w:hAnsi="Arial" w:cs="Arial"/>
                <w:sz w:val="18"/>
                <w:szCs w:val="18"/>
                <w:lang w:val="en-US" w:eastAsia="en-US"/>
              </w:rPr>
            </w:pPr>
            <w:r>
              <w:rPr>
                <w:rFonts w:ascii="Arial" w:hAnsi="Arial" w:cs="Arial"/>
                <w:color w:val="000000"/>
                <w:sz w:val="18"/>
                <w:szCs w:val="18"/>
              </w:rPr>
              <w:t>other points listed (</w:t>
            </w:r>
            <w:r w:rsidR="00207878">
              <w:rPr>
                <w:rFonts w:ascii="Arial" w:hAnsi="Arial" w:cs="Arial"/>
                <w:color w:val="000000"/>
                <w:sz w:val="18"/>
                <w:szCs w:val="18"/>
              </w:rPr>
              <w:t>2</w:t>
            </w:r>
            <w:r>
              <w:rPr>
                <w:rFonts w:ascii="Arial" w:hAnsi="Arial" w:cs="Arial"/>
                <w:color w:val="000000"/>
                <w:sz w:val="18"/>
                <w:szCs w:val="18"/>
              </w:rPr>
              <w:t>0,</w:t>
            </w:r>
            <w:r w:rsidR="00207878">
              <w:rPr>
                <w:rFonts w:ascii="Arial" w:hAnsi="Arial" w:cs="Arial"/>
                <w:color w:val="000000"/>
                <w:sz w:val="18"/>
                <w:szCs w:val="18"/>
              </w:rPr>
              <w:t>9</w:t>
            </w:r>
            <w:r>
              <w:rPr>
                <w:rFonts w:ascii="Arial" w:hAnsi="Arial" w:cs="Arial"/>
                <w:color w:val="000000"/>
                <w:sz w:val="18"/>
                <w:szCs w:val="18"/>
              </w:rPr>
              <w:t>0)</w:t>
            </w:r>
          </w:p>
        </w:tc>
        <w:tc>
          <w:tcPr>
            <w:tcW w:w="810" w:type="dxa"/>
            <w:tcBorders>
              <w:bottom w:val="single" w:sz="12" w:space="0" w:color="auto"/>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22</w:t>
            </w:r>
          </w:p>
        </w:tc>
        <w:tc>
          <w:tcPr>
            <w:tcW w:w="810" w:type="dxa"/>
            <w:tcBorders>
              <w:bottom w:val="single" w:sz="12" w:space="0" w:color="auto"/>
            </w:tcBorders>
            <w:vAlign w:val="center"/>
          </w:tcPr>
          <w:p w:rsidR="00F9041E" w:rsidRPr="009B6628" w:rsidRDefault="00F9041E" w:rsidP="00F9041E">
            <w:pPr>
              <w:spacing w:after="0"/>
              <w:jc w:val="center"/>
              <w:rPr>
                <w:rFonts w:ascii="Arial" w:hAnsi="Arial" w:cs="Arial"/>
                <w:sz w:val="18"/>
                <w:szCs w:val="18"/>
                <w:lang w:val="en-US" w:eastAsia="en-US"/>
              </w:rPr>
            </w:pPr>
            <w:r>
              <w:rPr>
                <w:rFonts w:ascii="Arial" w:hAnsi="Arial" w:cs="Arial"/>
                <w:sz w:val="18"/>
                <w:szCs w:val="18"/>
                <w:lang w:val="en-US" w:eastAsia="en-US"/>
              </w:rPr>
              <w:t>25</w:t>
            </w:r>
          </w:p>
        </w:tc>
        <w:tc>
          <w:tcPr>
            <w:tcW w:w="1350" w:type="dxa"/>
            <w:tcBorders>
              <w:bottom w:val="single" w:sz="12" w:space="0" w:color="auto"/>
              <w:right w:val="nil"/>
            </w:tcBorders>
            <w:vAlign w:val="center"/>
          </w:tcPr>
          <w:p w:rsidR="00F9041E" w:rsidRPr="009B6628" w:rsidRDefault="00B962B6" w:rsidP="00F9041E">
            <w:pPr>
              <w:spacing w:after="0"/>
              <w:jc w:val="center"/>
              <w:rPr>
                <w:rFonts w:ascii="Arial" w:hAnsi="Arial" w:cs="Arial"/>
                <w:sz w:val="18"/>
                <w:szCs w:val="18"/>
                <w:lang w:val="en-US" w:eastAsia="en-US"/>
              </w:rPr>
            </w:pPr>
            <w:r>
              <w:rPr>
                <w:rFonts w:ascii="Arial" w:hAnsi="Arial" w:cs="Arial"/>
                <w:color w:val="000000"/>
                <w:sz w:val="18"/>
                <w:szCs w:val="18"/>
              </w:rPr>
              <w:t>23-27</w:t>
            </w:r>
          </w:p>
        </w:tc>
      </w:tr>
      <w:tr w:rsidR="00397DC8" w:rsidTr="007565A7">
        <w:trPr>
          <w:trHeight w:val="288"/>
        </w:trPr>
        <w:tc>
          <w:tcPr>
            <w:tcW w:w="10980" w:type="dxa"/>
            <w:gridSpan w:val="9"/>
            <w:tcBorders>
              <w:left w:val="nil"/>
              <w:bottom w:val="nil"/>
              <w:right w:val="nil"/>
            </w:tcBorders>
            <w:vAlign w:val="center"/>
          </w:tcPr>
          <w:p w:rsidR="00397DC8" w:rsidRDefault="00397DC8" w:rsidP="00B74D52">
            <w:pPr>
              <w:spacing w:before="60" w:after="0"/>
              <w:rPr>
                <w:rFonts w:ascii="Arial" w:hAnsi="Arial" w:cs="Arial"/>
                <w:color w:val="000000"/>
                <w:sz w:val="18"/>
                <w:szCs w:val="18"/>
              </w:rPr>
            </w:pPr>
            <w:r w:rsidRPr="00A97A18">
              <w:rPr>
                <w:rFonts w:ascii="Arial" w:hAnsi="Arial" w:cs="Arial"/>
                <w:b/>
                <w:color w:val="000000"/>
                <w:sz w:val="18"/>
                <w:szCs w:val="18"/>
              </w:rPr>
              <w:t>Note</w:t>
            </w:r>
            <w:r w:rsidR="00B74D52">
              <w:rPr>
                <w:rFonts w:ascii="Arial" w:hAnsi="Arial" w:cs="Arial"/>
                <w:b/>
                <w:color w:val="000000"/>
                <w:sz w:val="18"/>
                <w:szCs w:val="18"/>
              </w:rPr>
              <w:t>s</w:t>
            </w:r>
            <w:r w:rsidRPr="00A97A18">
              <w:rPr>
                <w:rFonts w:ascii="Arial" w:hAnsi="Arial" w:cs="Arial"/>
                <w:b/>
                <w:color w:val="000000"/>
                <w:sz w:val="18"/>
                <w:szCs w:val="18"/>
              </w:rPr>
              <w:t>:</w:t>
            </w:r>
            <w:r>
              <w:rPr>
                <w:rFonts w:ascii="Arial" w:hAnsi="Arial" w:cs="Arial"/>
                <w:color w:val="000000"/>
                <w:sz w:val="18"/>
                <w:szCs w:val="18"/>
              </w:rPr>
              <w:t xml:space="preserve"> </w:t>
            </w:r>
            <w:r w:rsidRPr="00397DC8">
              <w:rPr>
                <w:rFonts w:ascii="Arial" w:hAnsi="Arial" w:cs="Arial"/>
                <w:color w:val="000000"/>
                <w:sz w:val="18"/>
                <w:szCs w:val="18"/>
                <w:vertAlign w:val="superscript"/>
              </w:rPr>
              <w:t>1</w:t>
            </w:r>
            <w:r w:rsidR="00B74D52">
              <w:rPr>
                <w:rFonts w:ascii="Arial" w:hAnsi="Arial" w:cs="Arial"/>
                <w:color w:val="000000"/>
                <w:sz w:val="18"/>
                <w:szCs w:val="18"/>
                <w:vertAlign w:val="superscript"/>
              </w:rPr>
              <w:t xml:space="preserve"> </w:t>
            </w:r>
            <w:r>
              <w:rPr>
                <w:rFonts w:ascii="Arial" w:hAnsi="Arial" w:cs="Arial"/>
                <w:color w:val="000000"/>
                <w:sz w:val="18"/>
                <w:szCs w:val="18"/>
              </w:rPr>
              <w:t>Pout per element</w:t>
            </w:r>
          </w:p>
          <w:p w:rsidR="00B74D52" w:rsidRDefault="00B74D52" w:rsidP="00B74D52">
            <w:pPr>
              <w:spacing w:after="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vertAlign w:val="superscript"/>
              </w:rPr>
              <w:t>2</w:t>
            </w:r>
            <w:r w:rsidR="00A26018">
              <w:rPr>
                <w:rFonts w:ascii="Arial" w:hAnsi="Arial" w:cs="Arial"/>
                <w:color w:val="000000"/>
                <w:sz w:val="18"/>
                <w:szCs w:val="18"/>
                <w:vertAlign w:val="superscript"/>
              </w:rPr>
              <w:t xml:space="preserve"> </w:t>
            </w:r>
            <w:r w:rsidR="00A26018">
              <w:rPr>
                <w:rFonts w:ascii="Arial" w:hAnsi="Arial" w:cs="Arial"/>
                <w:color w:val="000000"/>
                <w:sz w:val="18"/>
                <w:szCs w:val="18"/>
              </w:rPr>
              <w:t xml:space="preserve"> </w:t>
            </w:r>
            <w:r w:rsidR="00A26018">
              <w:rPr>
                <w:rFonts w:ascii="Arial" w:hAnsi="Arial" w:cs="Arial"/>
                <w:color w:val="000000"/>
                <w:sz w:val="18"/>
                <w:szCs w:val="18"/>
              </w:rPr>
              <w:t>Relates to TRP (rather than conducted)</w:t>
            </w:r>
          </w:p>
        </w:tc>
      </w:tr>
    </w:tbl>
    <w:p w:rsidR="00652340" w:rsidRDefault="00652340" w:rsidP="00652340">
      <w:pPr>
        <w:spacing w:after="0"/>
        <w:rPr>
          <w:lang w:val="en-US" w:eastAsia="zh-CN"/>
        </w:rPr>
      </w:pPr>
      <w:r>
        <w:rPr>
          <w:lang w:val="en-US" w:eastAsia="zh-CN"/>
        </w:rPr>
        <w:t>Table 2 presents a summary of the results reported in RAN4 AH#3 [</w:t>
      </w:r>
      <w:r w:rsidR="00D11F7A">
        <w:rPr>
          <w:lang w:val="en-US" w:eastAsia="zh-CN"/>
        </w:rPr>
        <w:t>15</w:t>
      </w:r>
      <w:r>
        <w:rPr>
          <w:lang w:val="en-US" w:eastAsia="zh-CN"/>
        </w:rPr>
        <w:t>-</w:t>
      </w:r>
      <w:r w:rsidR="00D11F7A">
        <w:rPr>
          <w:lang w:val="en-US" w:eastAsia="zh-CN"/>
        </w:rPr>
        <w:t>21</w:t>
      </w:r>
      <w:r>
        <w:rPr>
          <w:lang w:val="en-US" w:eastAsia="zh-CN"/>
        </w:rPr>
        <w:t xml:space="preserve">]. Similar to what </w:t>
      </w:r>
      <w:r w:rsidR="00D7349E">
        <w:rPr>
          <w:lang w:val="en-US" w:eastAsia="zh-CN"/>
        </w:rPr>
        <w:t>is shown</w:t>
      </w:r>
      <w:r>
        <w:rPr>
          <w:lang w:val="en-US" w:eastAsia="zh-CN"/>
        </w:rPr>
        <w:t xml:space="preserve"> on table 1, not much is disclosed </w:t>
      </w:r>
      <w:r w:rsidR="00D7349E">
        <w:rPr>
          <w:lang w:val="en-US" w:eastAsia="zh-CN"/>
        </w:rPr>
        <w:t xml:space="preserve">in terms of </w:t>
      </w:r>
      <w:r>
        <w:rPr>
          <w:lang w:val="en-US" w:eastAsia="zh-CN"/>
        </w:rPr>
        <w:t xml:space="preserve">the number of arrays used, enclosing material and spatial coverage. It is worth noting that, overall, the observed trend is that the 50%-tile value has decreased. For most, this highlights the addition of more loss parameters and further detailing their granularity. Given the lack of important environment information, undisclosed assumptions and unspecified spatial coverage in simulations, it is hard to discuss and agree on which CDF percentile points are useful for real implementations. Therefore, </w:t>
      </w:r>
      <w:r w:rsidR="00D7349E">
        <w:rPr>
          <w:lang w:val="en-US" w:eastAsia="zh-CN"/>
        </w:rPr>
        <w:t xml:space="preserve">a </w:t>
      </w:r>
      <w:r>
        <w:rPr>
          <w:lang w:val="en-US" w:eastAsia="zh-CN"/>
        </w:rPr>
        <w:t>framework should be considered first. A clearer understanding of the implementation and environment setup will help companies align on all parameters before deciding on CDF points.</w:t>
      </w:r>
    </w:p>
    <w:p w:rsidR="00652340" w:rsidRDefault="00652340" w:rsidP="00652340">
      <w:pPr>
        <w:spacing w:after="0"/>
        <w:rPr>
          <w:lang w:val="en-US" w:eastAsia="zh-CN"/>
        </w:rPr>
      </w:pPr>
    </w:p>
    <w:p w:rsidR="00652340" w:rsidRDefault="00652340" w:rsidP="00652340">
      <w:pPr>
        <w:spacing w:after="0"/>
        <w:rPr>
          <w:lang w:val="en-US" w:eastAsia="zh-CN"/>
        </w:rPr>
      </w:pPr>
      <w:r w:rsidRPr="00602AE7">
        <w:rPr>
          <w:b/>
          <w:lang w:val="en-US" w:eastAsia="zh-CN"/>
        </w:rPr>
        <w:t>Proposal 1:</w:t>
      </w:r>
      <w:r>
        <w:rPr>
          <w:lang w:val="en-US" w:eastAsia="zh-CN"/>
        </w:rPr>
        <w:t xml:space="preserve"> In order to correctly compare results across companies, a framework to align on CDF simulation assumptions is needed.</w:t>
      </w:r>
    </w:p>
    <w:p w:rsidR="00652340" w:rsidRDefault="00652340" w:rsidP="00652340">
      <w:pPr>
        <w:spacing w:after="0"/>
        <w:rPr>
          <w:lang w:val="en-US" w:eastAsia="zh-CN"/>
        </w:rPr>
      </w:pPr>
    </w:p>
    <w:p w:rsidR="00652340" w:rsidRDefault="00652340" w:rsidP="00652340">
      <w:pPr>
        <w:rPr>
          <w:lang w:val="en-US" w:eastAsia="zh-CN"/>
        </w:rPr>
      </w:pPr>
      <w:r>
        <w:rPr>
          <w:lang w:val="en-US" w:eastAsia="zh-CN"/>
        </w:rPr>
        <w:t>Table 3 below proposes a list of parameters which may potentially define the framework.</w:t>
      </w:r>
    </w:p>
    <w:p w:rsidR="00A97A18" w:rsidRDefault="00A97A18" w:rsidP="00A97A18">
      <w:pPr>
        <w:spacing w:after="0"/>
        <w:rPr>
          <w:lang w:val="en-US" w:eastAsia="zh-CN"/>
        </w:rPr>
      </w:pPr>
    </w:p>
    <w:p w:rsidR="00652340" w:rsidRDefault="00652340" w:rsidP="007565A7">
      <w:pPr>
        <w:pStyle w:val="Caption"/>
        <w:keepNext/>
        <w:spacing w:after="180"/>
        <w:jc w:val="center"/>
      </w:pPr>
      <w:r>
        <w:t>Table 3: Parameters for EIRP CDF alignment</w:t>
      </w:r>
    </w:p>
    <w:tbl>
      <w:tblPr>
        <w:tblStyle w:val="TableGrid"/>
        <w:tblW w:w="9360" w:type="dxa"/>
        <w:jc w:val="center"/>
        <w:tblLook w:val="04A0" w:firstRow="1" w:lastRow="0" w:firstColumn="1" w:lastColumn="0" w:noHBand="0" w:noVBand="1"/>
      </w:tblPr>
      <w:tblGrid>
        <w:gridCol w:w="2498"/>
        <w:gridCol w:w="6862"/>
      </w:tblGrid>
      <w:tr w:rsidR="00652340" w:rsidTr="00D7349E">
        <w:trPr>
          <w:trHeight w:val="288"/>
          <w:jc w:val="center"/>
        </w:trPr>
        <w:tc>
          <w:tcPr>
            <w:tcW w:w="2498" w:type="dxa"/>
            <w:tcBorders>
              <w:top w:val="double" w:sz="12" w:space="0" w:color="auto"/>
              <w:left w:val="nil"/>
            </w:tcBorders>
            <w:vAlign w:val="center"/>
          </w:tcPr>
          <w:p w:rsidR="00652340" w:rsidRPr="009B6628" w:rsidRDefault="00652340" w:rsidP="00D7349E">
            <w:pPr>
              <w:spacing w:after="0"/>
              <w:rPr>
                <w:rFonts w:ascii="Arial" w:hAnsi="Arial" w:cs="Arial"/>
                <w:b/>
                <w:sz w:val="18"/>
                <w:szCs w:val="18"/>
                <w:lang w:val="en-US" w:eastAsia="en-US"/>
              </w:rPr>
            </w:pPr>
            <w:r w:rsidRPr="009B6628">
              <w:rPr>
                <w:rFonts w:ascii="Arial" w:hAnsi="Arial" w:cs="Arial"/>
                <w:b/>
                <w:sz w:val="18"/>
                <w:szCs w:val="18"/>
                <w:lang w:val="en-US" w:eastAsia="en-US"/>
              </w:rPr>
              <w:t>Parameter</w:t>
            </w:r>
          </w:p>
        </w:tc>
        <w:tc>
          <w:tcPr>
            <w:tcW w:w="6862" w:type="dxa"/>
            <w:tcBorders>
              <w:top w:val="double" w:sz="12" w:space="0" w:color="auto"/>
              <w:right w:val="nil"/>
            </w:tcBorders>
            <w:vAlign w:val="center"/>
          </w:tcPr>
          <w:p w:rsidR="00652340" w:rsidRPr="009B6628" w:rsidRDefault="00652340" w:rsidP="00D7349E">
            <w:pPr>
              <w:spacing w:after="0"/>
              <w:jc w:val="center"/>
              <w:rPr>
                <w:rFonts w:ascii="Arial" w:hAnsi="Arial" w:cs="Arial"/>
                <w:sz w:val="18"/>
                <w:szCs w:val="18"/>
                <w:lang w:val="en-US" w:eastAsia="en-US"/>
              </w:rPr>
            </w:pPr>
            <w:r>
              <w:rPr>
                <w:rFonts w:ascii="Arial" w:hAnsi="Arial" w:cs="Arial"/>
                <w:b/>
                <w:sz w:val="18"/>
                <w:szCs w:val="18"/>
                <w:lang w:val="en-US" w:eastAsia="en-US"/>
              </w:rPr>
              <w:t>Value</w:t>
            </w:r>
          </w:p>
        </w:tc>
      </w:tr>
      <w:tr w:rsidR="004F368A" w:rsidTr="00D7349E">
        <w:trPr>
          <w:jc w:val="center"/>
        </w:trPr>
        <w:tc>
          <w:tcPr>
            <w:tcW w:w="2498" w:type="dxa"/>
            <w:tcBorders>
              <w:left w:val="nil"/>
            </w:tcBorders>
            <w:vAlign w:val="center"/>
          </w:tcPr>
          <w:p w:rsidR="004F368A" w:rsidRPr="009B6628" w:rsidRDefault="004F368A" w:rsidP="00D7349E">
            <w:pPr>
              <w:spacing w:after="0"/>
              <w:rPr>
                <w:rFonts w:ascii="Arial" w:hAnsi="Arial" w:cs="Arial"/>
                <w:color w:val="000000"/>
                <w:sz w:val="18"/>
                <w:szCs w:val="18"/>
              </w:rPr>
            </w:pPr>
            <w:r>
              <w:rPr>
                <w:rFonts w:ascii="Arial" w:hAnsi="Arial" w:cs="Arial"/>
                <w:color w:val="000000"/>
                <w:sz w:val="18"/>
                <w:szCs w:val="18"/>
              </w:rPr>
              <w:t>DUT description</w:t>
            </w:r>
            <w:r w:rsidRPr="009B6628">
              <w:rPr>
                <w:rFonts w:ascii="Arial" w:hAnsi="Arial" w:cs="Arial"/>
                <w:color w:val="000000"/>
                <w:sz w:val="18"/>
                <w:szCs w:val="18"/>
              </w:rPr>
              <w:t xml:space="preserve"> </w:t>
            </w:r>
          </w:p>
        </w:tc>
        <w:tc>
          <w:tcPr>
            <w:tcW w:w="6862" w:type="dxa"/>
            <w:tcBorders>
              <w:right w:val="nil"/>
            </w:tcBorders>
            <w:vAlign w:val="center"/>
          </w:tcPr>
          <w:p w:rsidR="004F368A" w:rsidRDefault="004F368A" w:rsidP="00077AEB">
            <w:pPr>
              <w:spacing w:after="0"/>
              <w:rPr>
                <w:rFonts w:ascii="Arial" w:hAnsi="Arial" w:cs="Arial"/>
                <w:sz w:val="18"/>
                <w:szCs w:val="18"/>
                <w:lang w:val="en-US" w:eastAsia="en-US"/>
              </w:rPr>
            </w:pPr>
            <w:r>
              <w:rPr>
                <w:rFonts w:ascii="Arial" w:hAnsi="Arial" w:cs="Arial"/>
                <w:sz w:val="18"/>
                <w:szCs w:val="18"/>
                <w:lang w:val="en-US" w:eastAsia="en-US"/>
              </w:rPr>
              <w:t xml:space="preserve">information </w:t>
            </w:r>
            <w:r w:rsidR="00077AEB">
              <w:rPr>
                <w:rFonts w:ascii="Arial" w:hAnsi="Arial" w:cs="Arial"/>
                <w:sz w:val="18"/>
                <w:szCs w:val="18"/>
                <w:lang w:val="en-US" w:eastAsia="en-US"/>
              </w:rPr>
              <w:t>UE enclosure and array placements is encouraged to be reported</w:t>
            </w:r>
          </w:p>
        </w:tc>
      </w:tr>
      <w:tr w:rsidR="004F368A" w:rsidTr="00D7349E">
        <w:trPr>
          <w:jc w:val="center"/>
        </w:trPr>
        <w:tc>
          <w:tcPr>
            <w:tcW w:w="2498" w:type="dxa"/>
            <w:tcBorders>
              <w:left w:val="nil"/>
            </w:tcBorders>
            <w:vAlign w:val="center"/>
          </w:tcPr>
          <w:p w:rsidR="004F368A" w:rsidRPr="009B6628" w:rsidRDefault="004F368A" w:rsidP="00D7349E">
            <w:pPr>
              <w:spacing w:after="0"/>
              <w:rPr>
                <w:rFonts w:ascii="Arial" w:hAnsi="Arial" w:cs="Arial"/>
                <w:color w:val="000000"/>
                <w:sz w:val="18"/>
                <w:szCs w:val="18"/>
              </w:rPr>
            </w:pPr>
            <w:r>
              <w:rPr>
                <w:rFonts w:ascii="Arial" w:hAnsi="Arial" w:cs="Arial"/>
                <w:color w:val="000000"/>
                <w:sz w:val="18"/>
                <w:szCs w:val="18"/>
              </w:rPr>
              <w:t>CDF type</w:t>
            </w:r>
          </w:p>
        </w:tc>
        <w:tc>
          <w:tcPr>
            <w:tcW w:w="6862" w:type="dxa"/>
            <w:tcBorders>
              <w:right w:val="nil"/>
            </w:tcBorders>
            <w:vAlign w:val="center"/>
          </w:tcPr>
          <w:p w:rsidR="004F368A" w:rsidRDefault="004F368A" w:rsidP="00D7349E">
            <w:pPr>
              <w:spacing w:after="0"/>
              <w:rPr>
                <w:rFonts w:ascii="Arial" w:hAnsi="Arial" w:cs="Arial"/>
                <w:sz w:val="18"/>
                <w:szCs w:val="18"/>
                <w:lang w:val="en-US" w:eastAsia="en-US"/>
              </w:rPr>
            </w:pPr>
            <w:r>
              <w:rPr>
                <w:rFonts w:ascii="Arial" w:hAnsi="Arial" w:cs="Arial"/>
                <w:sz w:val="18"/>
                <w:szCs w:val="18"/>
                <w:lang w:val="en-US" w:eastAsia="en-US"/>
              </w:rPr>
              <w:t>measured or simulated</w:t>
            </w:r>
          </w:p>
        </w:tc>
      </w:tr>
      <w:tr w:rsidR="004F368A" w:rsidTr="00D7349E">
        <w:trPr>
          <w:jc w:val="center"/>
        </w:trPr>
        <w:tc>
          <w:tcPr>
            <w:tcW w:w="2498" w:type="dxa"/>
            <w:tcBorders>
              <w:left w:val="nil"/>
            </w:tcBorders>
            <w:vAlign w:val="center"/>
          </w:tcPr>
          <w:p w:rsidR="004F368A" w:rsidRPr="009B6628" w:rsidRDefault="004F368A" w:rsidP="00D7349E">
            <w:pPr>
              <w:spacing w:after="0"/>
              <w:rPr>
                <w:rFonts w:ascii="Arial" w:hAnsi="Arial" w:cs="Arial"/>
                <w:sz w:val="18"/>
                <w:szCs w:val="18"/>
                <w:lang w:val="en-US" w:eastAsia="en-US"/>
              </w:rPr>
            </w:pPr>
            <w:r>
              <w:rPr>
                <w:rFonts w:ascii="Arial" w:hAnsi="Arial" w:cs="Arial"/>
                <w:color w:val="000000"/>
                <w:sz w:val="18"/>
                <w:szCs w:val="18"/>
              </w:rPr>
              <w:t>Maximum EIRP (dBm)</w:t>
            </w:r>
          </w:p>
        </w:tc>
        <w:tc>
          <w:tcPr>
            <w:tcW w:w="6862" w:type="dxa"/>
            <w:tcBorders>
              <w:right w:val="nil"/>
            </w:tcBorders>
            <w:vAlign w:val="center"/>
          </w:tcPr>
          <w:p w:rsidR="004F368A" w:rsidRPr="009B6628" w:rsidRDefault="004F368A" w:rsidP="00D7349E">
            <w:pPr>
              <w:spacing w:after="0"/>
              <w:rPr>
                <w:rFonts w:ascii="Arial" w:hAnsi="Arial" w:cs="Arial"/>
                <w:sz w:val="18"/>
                <w:szCs w:val="18"/>
                <w:lang w:val="en-US" w:eastAsia="en-US"/>
              </w:rPr>
            </w:pPr>
            <w:r>
              <w:rPr>
                <w:rFonts w:ascii="Arial" w:hAnsi="Arial" w:cs="Arial"/>
                <w:sz w:val="18"/>
                <w:szCs w:val="18"/>
                <w:lang w:val="en-US" w:eastAsia="en-US"/>
              </w:rPr>
              <w:t>the 100% percentile of the CDF should correspond to the company’s peak EIRP proposal or should match the agreed max EIRP in RAN4 (if available)</w:t>
            </w:r>
          </w:p>
        </w:tc>
      </w:tr>
      <w:tr w:rsidR="004F368A" w:rsidTr="00D7349E">
        <w:trPr>
          <w:jc w:val="center"/>
        </w:trPr>
        <w:tc>
          <w:tcPr>
            <w:tcW w:w="2498" w:type="dxa"/>
            <w:tcBorders>
              <w:left w:val="nil"/>
            </w:tcBorders>
            <w:vAlign w:val="center"/>
          </w:tcPr>
          <w:p w:rsidR="004F368A" w:rsidRPr="009B6628" w:rsidRDefault="004D7867" w:rsidP="003537A7">
            <w:pPr>
              <w:spacing w:after="0"/>
              <w:rPr>
                <w:rFonts w:ascii="Arial" w:hAnsi="Arial" w:cs="Arial"/>
                <w:sz w:val="18"/>
                <w:szCs w:val="18"/>
                <w:lang w:val="en-US" w:eastAsia="en-US"/>
              </w:rPr>
            </w:pPr>
            <w:r>
              <w:rPr>
                <w:rFonts w:ascii="Arial" w:hAnsi="Arial" w:cs="Arial"/>
                <w:color w:val="000000"/>
                <w:sz w:val="18"/>
                <w:szCs w:val="18"/>
              </w:rPr>
              <w:t>S</w:t>
            </w:r>
            <w:r w:rsidRPr="009B6628">
              <w:rPr>
                <w:rFonts w:ascii="Arial" w:hAnsi="Arial" w:cs="Arial"/>
                <w:color w:val="000000"/>
                <w:sz w:val="18"/>
                <w:szCs w:val="18"/>
              </w:rPr>
              <w:t xml:space="preserve">patial </w:t>
            </w:r>
            <w:r w:rsidR="004F368A" w:rsidRPr="009B6628">
              <w:rPr>
                <w:rFonts w:ascii="Arial" w:hAnsi="Arial" w:cs="Arial"/>
                <w:color w:val="000000"/>
                <w:sz w:val="18"/>
                <w:szCs w:val="18"/>
              </w:rPr>
              <w:t>coverage CDF</w:t>
            </w:r>
          </w:p>
        </w:tc>
        <w:tc>
          <w:tcPr>
            <w:tcW w:w="6862" w:type="dxa"/>
            <w:tcBorders>
              <w:right w:val="nil"/>
            </w:tcBorders>
            <w:vAlign w:val="center"/>
          </w:tcPr>
          <w:p w:rsidR="004F368A" w:rsidRPr="009B6628" w:rsidRDefault="004F368A" w:rsidP="00D7349E">
            <w:pPr>
              <w:spacing w:after="0"/>
              <w:rPr>
                <w:rFonts w:ascii="Arial" w:hAnsi="Arial" w:cs="Arial"/>
                <w:sz w:val="18"/>
                <w:szCs w:val="18"/>
                <w:lang w:val="en-US" w:eastAsia="en-US"/>
              </w:rPr>
            </w:pPr>
            <w:r>
              <w:rPr>
                <w:rFonts w:ascii="Arial" w:hAnsi="Arial" w:cs="Arial"/>
                <w:sz w:val="18"/>
                <w:szCs w:val="18"/>
                <w:lang w:val="en-US" w:eastAsia="en-US"/>
              </w:rPr>
              <w:t>over all angles (elevation &amp; azimuth)</w:t>
            </w:r>
          </w:p>
        </w:tc>
      </w:tr>
      <w:tr w:rsidR="004F368A" w:rsidTr="007565A7">
        <w:trPr>
          <w:jc w:val="center"/>
        </w:trPr>
        <w:tc>
          <w:tcPr>
            <w:tcW w:w="2498" w:type="dxa"/>
            <w:tcBorders>
              <w:left w:val="nil"/>
              <w:bottom w:val="single" w:sz="12" w:space="0" w:color="auto"/>
            </w:tcBorders>
            <w:vAlign w:val="center"/>
          </w:tcPr>
          <w:p w:rsidR="004F368A" w:rsidRDefault="00DE7E6A" w:rsidP="004D7867">
            <w:pPr>
              <w:spacing w:after="0"/>
              <w:rPr>
                <w:rFonts w:ascii="Arial" w:hAnsi="Arial" w:cs="Arial"/>
                <w:color w:val="000000"/>
                <w:sz w:val="18"/>
                <w:szCs w:val="18"/>
              </w:rPr>
            </w:pPr>
            <w:r>
              <w:rPr>
                <w:rFonts w:ascii="Arial" w:hAnsi="Arial" w:cs="Arial"/>
                <w:color w:val="000000"/>
                <w:sz w:val="18"/>
                <w:szCs w:val="18"/>
              </w:rPr>
              <w:t xml:space="preserve">Spherical surface grid </w:t>
            </w:r>
          </w:p>
        </w:tc>
        <w:tc>
          <w:tcPr>
            <w:tcW w:w="6862" w:type="dxa"/>
            <w:tcBorders>
              <w:bottom w:val="single" w:sz="12" w:space="0" w:color="auto"/>
              <w:right w:val="nil"/>
            </w:tcBorders>
            <w:vAlign w:val="center"/>
          </w:tcPr>
          <w:p w:rsidR="004F368A" w:rsidRDefault="00EC3F41" w:rsidP="00FA07CA">
            <w:pPr>
              <w:spacing w:after="0"/>
              <w:rPr>
                <w:rFonts w:ascii="Arial" w:hAnsi="Arial" w:cs="Arial"/>
                <w:sz w:val="18"/>
                <w:szCs w:val="18"/>
                <w:lang w:val="en-US" w:eastAsia="en-US"/>
              </w:rPr>
            </w:pPr>
            <w:r>
              <w:rPr>
                <w:rFonts w:ascii="Arial" w:hAnsi="Arial" w:cs="Arial"/>
                <w:sz w:val="18"/>
                <w:szCs w:val="18"/>
                <w:lang w:val="en-US" w:eastAsia="en-US"/>
              </w:rPr>
              <w:t xml:space="preserve">Companies are encouraged to </w:t>
            </w:r>
            <w:r w:rsidR="00FA07CA">
              <w:rPr>
                <w:rFonts w:ascii="Arial" w:hAnsi="Arial" w:cs="Arial"/>
                <w:sz w:val="18"/>
                <w:szCs w:val="18"/>
                <w:lang w:val="en-US" w:eastAsia="en-US"/>
              </w:rPr>
              <w:t>describe</w:t>
            </w:r>
            <w:r>
              <w:rPr>
                <w:rFonts w:ascii="Arial" w:hAnsi="Arial" w:cs="Arial"/>
                <w:sz w:val="18"/>
                <w:szCs w:val="18"/>
                <w:lang w:val="en-US" w:eastAsia="en-US"/>
              </w:rPr>
              <w:t xml:space="preserve"> </w:t>
            </w:r>
            <w:r w:rsidR="004D7867">
              <w:rPr>
                <w:rFonts w:ascii="Arial" w:hAnsi="Arial" w:cs="Arial"/>
                <w:sz w:val="18"/>
                <w:szCs w:val="18"/>
                <w:lang w:val="en-US" w:eastAsia="en-US"/>
              </w:rPr>
              <w:t xml:space="preserve">the spherical surface grid </w:t>
            </w:r>
            <w:r>
              <w:rPr>
                <w:rFonts w:ascii="Arial" w:hAnsi="Arial" w:cs="Arial"/>
                <w:sz w:val="18"/>
                <w:szCs w:val="18"/>
                <w:lang w:val="en-US" w:eastAsia="en-US"/>
              </w:rPr>
              <w:t xml:space="preserve">that was used </w:t>
            </w:r>
            <w:r w:rsidR="004D7867">
              <w:rPr>
                <w:rFonts w:ascii="Arial" w:hAnsi="Arial" w:cs="Arial"/>
                <w:sz w:val="18"/>
                <w:szCs w:val="18"/>
                <w:lang w:val="en-US" w:eastAsia="en-US"/>
              </w:rPr>
              <w:t>to enable comparisons</w:t>
            </w:r>
            <w:r>
              <w:rPr>
                <w:rFonts w:ascii="Arial" w:hAnsi="Arial" w:cs="Arial"/>
                <w:sz w:val="18"/>
                <w:szCs w:val="18"/>
                <w:lang w:val="en-US" w:eastAsia="en-US"/>
              </w:rPr>
              <w:t xml:space="preserve"> </w:t>
            </w:r>
            <w:r>
              <w:rPr>
                <w:rFonts w:ascii="Arial" w:hAnsi="Arial" w:cs="Arial"/>
                <w:sz w:val="18"/>
                <w:szCs w:val="18"/>
                <w:lang w:val="en-US" w:eastAsia="en-US"/>
              </w:rPr>
              <w:fldChar w:fldCharType="begin"/>
            </w:r>
            <w:r>
              <w:rPr>
                <w:rFonts w:ascii="Arial" w:hAnsi="Arial" w:cs="Arial"/>
                <w:sz w:val="18"/>
                <w:szCs w:val="18"/>
                <w:lang w:val="en-US" w:eastAsia="en-US"/>
              </w:rPr>
              <w:instrText xml:space="preserve"> REF _Ref494655748 \r \h </w:instrText>
            </w:r>
            <w:r>
              <w:rPr>
                <w:rFonts w:ascii="Arial" w:hAnsi="Arial" w:cs="Arial"/>
                <w:sz w:val="18"/>
                <w:szCs w:val="18"/>
                <w:lang w:val="en-US" w:eastAsia="en-US"/>
              </w:rPr>
            </w:r>
            <w:r>
              <w:rPr>
                <w:rFonts w:ascii="Arial" w:hAnsi="Arial" w:cs="Arial"/>
                <w:sz w:val="18"/>
                <w:szCs w:val="18"/>
                <w:lang w:val="en-US" w:eastAsia="en-US"/>
              </w:rPr>
              <w:fldChar w:fldCharType="separate"/>
            </w:r>
            <w:r>
              <w:rPr>
                <w:rFonts w:ascii="Arial" w:hAnsi="Arial" w:cs="Arial"/>
                <w:sz w:val="18"/>
                <w:szCs w:val="18"/>
                <w:lang w:val="en-US" w:eastAsia="en-US"/>
              </w:rPr>
              <w:t>[10]</w:t>
            </w:r>
            <w:r>
              <w:rPr>
                <w:rFonts w:ascii="Arial" w:hAnsi="Arial" w:cs="Arial"/>
                <w:sz w:val="18"/>
                <w:szCs w:val="18"/>
                <w:lang w:val="en-US" w:eastAsia="en-US"/>
              </w:rPr>
              <w:fldChar w:fldCharType="end"/>
            </w:r>
            <w:r w:rsidR="004D7867">
              <w:rPr>
                <w:rFonts w:ascii="Arial" w:hAnsi="Arial" w:cs="Arial"/>
                <w:sz w:val="18"/>
                <w:szCs w:val="18"/>
                <w:lang w:val="en-US" w:eastAsia="en-US"/>
              </w:rPr>
              <w:t xml:space="preserve">. </w:t>
            </w:r>
            <w:r w:rsidR="00DE7E6A">
              <w:rPr>
                <w:rFonts w:ascii="Arial" w:hAnsi="Arial" w:cs="Arial"/>
                <w:sz w:val="18"/>
                <w:szCs w:val="18"/>
                <w:lang w:val="en-US" w:eastAsia="en-US"/>
              </w:rPr>
              <w:t xml:space="preserve"> </w:t>
            </w:r>
          </w:p>
        </w:tc>
      </w:tr>
      <w:tr w:rsidR="004F368A" w:rsidTr="007565A7">
        <w:trPr>
          <w:jc w:val="center"/>
        </w:trPr>
        <w:tc>
          <w:tcPr>
            <w:tcW w:w="2498" w:type="dxa"/>
            <w:tcBorders>
              <w:left w:val="nil"/>
              <w:bottom w:val="single" w:sz="12" w:space="0" w:color="auto"/>
            </w:tcBorders>
            <w:vAlign w:val="center"/>
          </w:tcPr>
          <w:p w:rsidR="004F368A" w:rsidRPr="009B6628" w:rsidRDefault="004F368A" w:rsidP="00D7349E">
            <w:pPr>
              <w:spacing w:after="0"/>
              <w:rPr>
                <w:rFonts w:ascii="Arial" w:hAnsi="Arial" w:cs="Arial"/>
                <w:color w:val="000000"/>
                <w:sz w:val="18"/>
                <w:szCs w:val="18"/>
              </w:rPr>
            </w:pPr>
            <w:r>
              <w:rPr>
                <w:rFonts w:ascii="Arial" w:hAnsi="Arial" w:cs="Arial"/>
                <w:color w:val="000000"/>
                <w:sz w:val="18"/>
                <w:szCs w:val="18"/>
              </w:rPr>
              <w:t>50 percentile value (dBm)</w:t>
            </w:r>
          </w:p>
        </w:tc>
        <w:tc>
          <w:tcPr>
            <w:tcW w:w="6862" w:type="dxa"/>
            <w:tcBorders>
              <w:bottom w:val="single" w:sz="12" w:space="0" w:color="auto"/>
              <w:right w:val="nil"/>
            </w:tcBorders>
            <w:vAlign w:val="center"/>
          </w:tcPr>
          <w:p w:rsidR="004F368A" w:rsidRDefault="004F368A" w:rsidP="00D7349E">
            <w:pPr>
              <w:spacing w:after="0"/>
              <w:rPr>
                <w:rFonts w:ascii="Arial" w:hAnsi="Arial" w:cs="Arial"/>
                <w:sz w:val="18"/>
                <w:szCs w:val="18"/>
                <w:lang w:val="en-US" w:eastAsia="en-US"/>
              </w:rPr>
            </w:pPr>
            <w:r>
              <w:rPr>
                <w:rFonts w:ascii="Arial" w:hAnsi="Arial" w:cs="Arial"/>
                <w:sz w:val="18"/>
                <w:szCs w:val="18"/>
                <w:lang w:val="en-US" w:eastAsia="en-US"/>
              </w:rPr>
              <w:t>companies are encouraged to share the 50% value;</w:t>
            </w:r>
          </w:p>
          <w:p w:rsidR="004F368A" w:rsidRDefault="004F368A" w:rsidP="00D7349E">
            <w:pPr>
              <w:spacing w:after="0"/>
              <w:rPr>
                <w:rFonts w:ascii="Arial" w:hAnsi="Arial" w:cs="Arial"/>
                <w:sz w:val="18"/>
                <w:szCs w:val="18"/>
                <w:lang w:val="en-US" w:eastAsia="en-US"/>
              </w:rPr>
            </w:pPr>
            <w:r>
              <w:rPr>
                <w:rFonts w:ascii="Arial" w:hAnsi="Arial" w:cs="Arial"/>
                <w:sz w:val="18"/>
                <w:szCs w:val="18"/>
                <w:lang w:val="en-US" w:eastAsia="en-US"/>
              </w:rPr>
              <w:t>sharing other values is not precluded</w:t>
            </w:r>
          </w:p>
        </w:tc>
      </w:tr>
    </w:tbl>
    <w:p w:rsidR="00652340" w:rsidRDefault="00652340" w:rsidP="00652340">
      <w:pPr>
        <w:spacing w:after="0"/>
        <w:rPr>
          <w:lang w:val="en-US" w:eastAsia="zh-CN"/>
        </w:rPr>
      </w:pPr>
    </w:p>
    <w:p w:rsidR="00652340" w:rsidRDefault="00652340" w:rsidP="00652340">
      <w:pPr>
        <w:spacing w:after="0"/>
        <w:rPr>
          <w:lang w:val="en-US" w:eastAsia="zh-CN"/>
        </w:rPr>
      </w:pPr>
    </w:p>
    <w:p w:rsidR="00652340" w:rsidRDefault="00652340" w:rsidP="00652340">
      <w:pPr>
        <w:spacing w:after="0"/>
        <w:rPr>
          <w:lang w:val="en-US" w:eastAsia="zh-CN"/>
        </w:rPr>
      </w:pPr>
      <w:r w:rsidRPr="00602AE7">
        <w:rPr>
          <w:b/>
          <w:lang w:val="en-US" w:eastAsia="zh-CN"/>
        </w:rPr>
        <w:t>Proposal 2:</w:t>
      </w:r>
      <w:r>
        <w:rPr>
          <w:lang w:val="en-US" w:eastAsia="zh-CN"/>
        </w:rPr>
        <w:t xml:space="preserve"> Agreement on the framework parameters is necessary to determine whether companies can achieve sufficient alignment in their assumptions to derive a spatial coverage EIRP CDF requirement. Additional parameters</w:t>
      </w:r>
      <w:r w:rsidR="00034687">
        <w:rPr>
          <w:lang w:val="en-US" w:eastAsia="zh-CN"/>
        </w:rPr>
        <w:t>, and editing</w:t>
      </w:r>
      <w:r>
        <w:rPr>
          <w:lang w:val="en-US" w:eastAsia="zh-CN"/>
        </w:rPr>
        <w:t xml:space="preserve"> or improvement of the existing parameters is encouraged by the authors.</w:t>
      </w:r>
    </w:p>
    <w:p w:rsidR="00652340" w:rsidRDefault="00652340" w:rsidP="00652340">
      <w:pPr>
        <w:spacing w:after="0"/>
        <w:rPr>
          <w:lang w:val="en-US" w:eastAsia="zh-CN"/>
        </w:rPr>
      </w:pPr>
    </w:p>
    <w:p w:rsidR="00652340" w:rsidRDefault="00652340" w:rsidP="00652340">
      <w:pPr>
        <w:spacing w:after="0"/>
        <w:rPr>
          <w:lang w:val="en-US" w:eastAsia="zh-CN"/>
        </w:rPr>
      </w:pPr>
      <w:r w:rsidRPr="00467533">
        <w:rPr>
          <w:b/>
          <w:lang w:val="en-US" w:eastAsia="zh-CN"/>
        </w:rPr>
        <w:t>Proposal 3</w:t>
      </w:r>
      <w:r>
        <w:rPr>
          <w:lang w:val="en-US" w:eastAsia="zh-CN"/>
        </w:rPr>
        <w:t>: As a fallback option, if a framework cannot be agreed, the power class requirement should focus on defining the peak EIRP value and consider deriving the spatial coverage EIRP CDF requirement from measurements once sufficient numbers of commercially-available UEs can be used.</w:t>
      </w:r>
    </w:p>
    <w:p w:rsidR="00652340" w:rsidRDefault="00652340" w:rsidP="00652340">
      <w:pPr>
        <w:pStyle w:val="Heading1"/>
        <w:rPr>
          <w:rFonts w:eastAsia="Batang"/>
        </w:rPr>
      </w:pPr>
      <w:r>
        <w:rPr>
          <w:rFonts w:eastAsia="Batang"/>
        </w:rPr>
        <w:t>3</w:t>
      </w:r>
      <w:r>
        <w:rPr>
          <w:rFonts w:eastAsia="Batang"/>
        </w:rPr>
        <w:tab/>
        <w:t>Conclusions</w:t>
      </w:r>
    </w:p>
    <w:p w:rsidR="00652340" w:rsidRDefault="00652340" w:rsidP="00652340">
      <w:pPr>
        <w:rPr>
          <w:rFonts w:eastAsia="Batang"/>
        </w:rPr>
      </w:pPr>
      <w:r>
        <w:rPr>
          <w:rFonts w:eastAsia="Batang"/>
        </w:rPr>
        <w:t>This paper presented a summary of previously reported power class parameters and CDF values. We discussed our views on how to approach defining the framework to align assumptions for spherical coverage simulations needed to define power class for mm-wave. The following observations and proposals have been made:</w:t>
      </w:r>
    </w:p>
    <w:p w:rsidR="00652340" w:rsidRDefault="00652340" w:rsidP="00652340">
      <w:pPr>
        <w:spacing w:after="0"/>
        <w:rPr>
          <w:lang w:val="en-US" w:eastAsia="zh-CN"/>
        </w:rPr>
      </w:pPr>
      <w:r w:rsidRPr="00FE7F36">
        <w:rPr>
          <w:b/>
          <w:lang w:val="en-US" w:eastAsia="zh-CN"/>
        </w:rPr>
        <w:lastRenderedPageBreak/>
        <w:t>Observation 1:</w:t>
      </w:r>
      <w:r>
        <w:rPr>
          <w:lang w:val="en-US" w:eastAsia="zh-CN"/>
        </w:rPr>
        <w:t xml:space="preserve"> To avoid greater variability in reported results, PA output power should be reported and agreed upon. </w:t>
      </w:r>
    </w:p>
    <w:p w:rsidR="00652340" w:rsidRDefault="00652340" w:rsidP="00652340">
      <w:pPr>
        <w:spacing w:after="0"/>
        <w:rPr>
          <w:lang w:val="en-US" w:eastAsia="zh-CN"/>
        </w:rPr>
      </w:pPr>
    </w:p>
    <w:p w:rsidR="00652340" w:rsidRDefault="00652340" w:rsidP="00652340">
      <w:pPr>
        <w:spacing w:after="0"/>
        <w:rPr>
          <w:lang w:val="en-US" w:eastAsia="zh-CN"/>
        </w:rPr>
      </w:pPr>
      <w:r w:rsidRPr="00FE7F36">
        <w:rPr>
          <w:b/>
          <w:lang w:val="en-US" w:eastAsia="zh-CN"/>
        </w:rPr>
        <w:t>Observation 2:</w:t>
      </w:r>
      <w:r>
        <w:rPr>
          <w:lang w:val="en-US" w:eastAsia="zh-CN"/>
        </w:rPr>
        <w:t xml:space="preserve"> All CDF simulations should assume similar parameters. Alignment on these parameters is vital for proper comparison across reported results.</w:t>
      </w:r>
    </w:p>
    <w:p w:rsidR="00652340" w:rsidRDefault="00652340" w:rsidP="00652340">
      <w:pPr>
        <w:spacing w:after="0"/>
        <w:rPr>
          <w:b/>
          <w:noProof/>
          <w:lang w:val="en-US" w:eastAsia="en-US"/>
        </w:rPr>
      </w:pPr>
    </w:p>
    <w:p w:rsidR="00652340" w:rsidRDefault="00652340" w:rsidP="00652340">
      <w:pPr>
        <w:spacing w:after="0"/>
        <w:rPr>
          <w:lang w:val="en-US" w:eastAsia="zh-CN"/>
        </w:rPr>
      </w:pPr>
      <w:r w:rsidRPr="00602AE7">
        <w:rPr>
          <w:b/>
          <w:lang w:val="en-US" w:eastAsia="zh-CN"/>
        </w:rPr>
        <w:t>Proposal 1:</w:t>
      </w:r>
      <w:r>
        <w:rPr>
          <w:lang w:val="en-US" w:eastAsia="zh-CN"/>
        </w:rPr>
        <w:t xml:space="preserve"> In order to correctly compare results across companies, a framework to align on CDF simulation assumptions is needed.</w:t>
      </w:r>
    </w:p>
    <w:p w:rsidR="00652340" w:rsidRDefault="00652340" w:rsidP="00652340">
      <w:pPr>
        <w:spacing w:after="0"/>
        <w:rPr>
          <w:lang w:val="en-US" w:eastAsia="zh-CN"/>
        </w:rPr>
      </w:pPr>
    </w:p>
    <w:p w:rsidR="00652340" w:rsidRDefault="00652340" w:rsidP="00652340">
      <w:pPr>
        <w:spacing w:after="0"/>
        <w:rPr>
          <w:lang w:val="en-US" w:eastAsia="zh-CN"/>
        </w:rPr>
      </w:pPr>
      <w:r w:rsidRPr="00602AE7">
        <w:rPr>
          <w:b/>
          <w:lang w:val="en-US" w:eastAsia="zh-CN"/>
        </w:rPr>
        <w:t>Proposal 2:</w:t>
      </w:r>
      <w:r>
        <w:rPr>
          <w:lang w:val="en-US" w:eastAsia="zh-CN"/>
        </w:rPr>
        <w:t xml:space="preserve"> Agreement on the framework parameters is necessary to determine whether companies can achieve sufficient alignment in their assumptions to derive a spatial coverage EIRP CDF requirement. Additional parameters or improvement of the existing parameters is encouraged by the authors.</w:t>
      </w:r>
    </w:p>
    <w:p w:rsidR="00652340" w:rsidRDefault="00652340" w:rsidP="00652340">
      <w:pPr>
        <w:spacing w:after="0"/>
        <w:rPr>
          <w:lang w:val="en-US" w:eastAsia="zh-CN"/>
        </w:rPr>
      </w:pPr>
    </w:p>
    <w:p w:rsidR="00652340" w:rsidRDefault="00652340" w:rsidP="00652340">
      <w:pPr>
        <w:spacing w:after="0"/>
        <w:rPr>
          <w:lang w:val="en-US" w:eastAsia="zh-CN"/>
        </w:rPr>
      </w:pPr>
      <w:r w:rsidRPr="00467533">
        <w:rPr>
          <w:b/>
          <w:lang w:val="en-US" w:eastAsia="zh-CN"/>
        </w:rPr>
        <w:t>Proposal 3</w:t>
      </w:r>
      <w:r>
        <w:rPr>
          <w:lang w:val="en-US" w:eastAsia="zh-CN"/>
        </w:rPr>
        <w:t>: As a fallback option, if a framework cannot be agreed, the power class requirement should focus on defining the peak EIRP value and consider deriving the spatial coverage EIRP CDF requirement from measurements once sufficient numbers of commercially-available UEs can be used.</w:t>
      </w:r>
    </w:p>
    <w:p w:rsidR="00652340" w:rsidRDefault="00652340" w:rsidP="00652340">
      <w:pPr>
        <w:pStyle w:val="Heading1"/>
      </w:pPr>
      <w:r>
        <w:t>4</w:t>
      </w:r>
      <w:r>
        <w:tab/>
        <w:t>References</w:t>
      </w:r>
    </w:p>
    <w:p w:rsidR="00652340" w:rsidRPr="00647B25" w:rsidRDefault="00652340" w:rsidP="00652340">
      <w:pPr>
        <w:numPr>
          <w:ilvl w:val="0"/>
          <w:numId w:val="1"/>
        </w:numPr>
        <w:spacing w:after="0"/>
      </w:pPr>
      <w:bookmarkStart w:id="1" w:name="_Ref476814365"/>
      <w:r>
        <w:t>RP-161596, “</w:t>
      </w:r>
      <w:r w:rsidRPr="00E760D0">
        <w:t>Study on New Radio Access Technology</w:t>
      </w:r>
      <w:r>
        <w:t>,” NTT DOCOMO</w:t>
      </w:r>
      <w:r w:rsidR="009F671B">
        <w:t xml:space="preserve"> Inc.</w:t>
      </w:r>
      <w:r>
        <w:t>, 3GPP RAN #73, September 2016</w:t>
      </w:r>
      <w:bookmarkEnd w:id="1"/>
    </w:p>
    <w:p w:rsidR="00652340" w:rsidRDefault="00652340" w:rsidP="00652340">
      <w:pPr>
        <w:numPr>
          <w:ilvl w:val="0"/>
          <w:numId w:val="1"/>
        </w:numPr>
        <w:spacing w:after="0"/>
      </w:pPr>
      <w:bookmarkStart w:id="2" w:name="_Ref466239739"/>
      <w:bookmarkStart w:id="3" w:name="_Ref485282685"/>
      <w:bookmarkStart w:id="4" w:name="_Ref466239850"/>
      <w:r>
        <w:t>TR 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2"/>
      <w:r w:rsidRPr="00647B25">
        <w:t>201</w:t>
      </w:r>
      <w:r>
        <w:t>7</w:t>
      </w:r>
      <w:bookmarkEnd w:id="3"/>
    </w:p>
    <w:p w:rsidR="00652340" w:rsidRDefault="00652340" w:rsidP="00652340">
      <w:pPr>
        <w:numPr>
          <w:ilvl w:val="0"/>
          <w:numId w:val="1"/>
        </w:numPr>
        <w:spacing w:after="0"/>
      </w:pPr>
      <w:r w:rsidRPr="00A016A5">
        <w:t>RP-1708</w:t>
      </w:r>
      <w:r>
        <w:t>55, “</w:t>
      </w:r>
      <w:r w:rsidRPr="0020255A">
        <w:t>Work Item on New Radio (NR) Access Technology</w:t>
      </w:r>
      <w:r>
        <w:t xml:space="preserve">,” </w:t>
      </w:r>
      <w:r w:rsidR="00D623CF">
        <w:t>NTT DOCOMO Inc</w:t>
      </w:r>
      <w:r w:rsidRPr="00A016A5">
        <w:t>.</w:t>
      </w:r>
      <w:r w:rsidR="00384E7F">
        <w:t>,</w:t>
      </w:r>
      <w:r>
        <w:t xml:space="preserve"> RAN #75, March 2017</w:t>
      </w:r>
    </w:p>
    <w:p w:rsidR="00652340" w:rsidRDefault="00652340" w:rsidP="00652340">
      <w:pPr>
        <w:numPr>
          <w:ilvl w:val="0"/>
          <w:numId w:val="1"/>
        </w:numPr>
        <w:spacing w:after="0"/>
      </w:pPr>
      <w:bookmarkStart w:id="5" w:name="_Ref485283161"/>
      <w:bookmarkStart w:id="6" w:name="_Ref476813621"/>
      <w:bookmarkStart w:id="7" w:name="_Ref476814267"/>
      <w:bookmarkEnd w:id="4"/>
      <w:r w:rsidRPr="00483A72">
        <w:t>R4-1704362</w:t>
      </w:r>
      <w:r>
        <w:t>, “</w:t>
      </w:r>
      <w:r w:rsidRPr="00483A72">
        <w:t>WF on mm</w:t>
      </w:r>
      <w:r>
        <w:t>-wave</w:t>
      </w:r>
      <w:r w:rsidRPr="00483A72">
        <w:t xml:space="preserve"> UE power class</w:t>
      </w:r>
      <w:r>
        <w:t>,” Qualcomm, Ericsson, Sony, Skyworks, 3GPP RAN4 #82bis, April 2017</w:t>
      </w:r>
      <w:bookmarkEnd w:id="5"/>
    </w:p>
    <w:p w:rsidR="00652340" w:rsidRDefault="00652340" w:rsidP="00652340">
      <w:pPr>
        <w:numPr>
          <w:ilvl w:val="0"/>
          <w:numId w:val="1"/>
        </w:numPr>
        <w:spacing w:after="0"/>
      </w:pPr>
      <w:bookmarkStart w:id="8" w:name="_Ref485283130"/>
      <w:bookmarkStart w:id="9" w:name="_Ref485282475"/>
      <w:bookmarkStart w:id="10" w:name="_Ref485282885"/>
      <w:r>
        <w:t>R4-1706322, “</w:t>
      </w:r>
      <w:r w:rsidRPr="00D01811">
        <w:rPr>
          <w:lang w:val="fi-FI"/>
        </w:rPr>
        <w:t>Way Forward on mmW power class</w:t>
      </w:r>
      <w:r>
        <w:rPr>
          <w:lang w:val="fi-FI"/>
        </w:rPr>
        <w:t>,” Qualcomm, Ericsson, Sony, 3GPP RAN4 #83, May 2017</w:t>
      </w:r>
      <w:bookmarkEnd w:id="8"/>
      <w:bookmarkEnd w:id="9"/>
      <w:bookmarkEnd w:id="10"/>
    </w:p>
    <w:p w:rsidR="00652340" w:rsidRDefault="00652340" w:rsidP="00652340">
      <w:pPr>
        <w:numPr>
          <w:ilvl w:val="0"/>
          <w:numId w:val="1"/>
        </w:numPr>
        <w:spacing w:after="0"/>
      </w:pPr>
      <w:r>
        <w:t>R4-1708914, “WF on Power Class and CDF,” NTT DOCOMO, 3GPP RAN #84, August 2017</w:t>
      </w:r>
      <w:bookmarkEnd w:id="6"/>
      <w:bookmarkEnd w:id="7"/>
    </w:p>
    <w:p w:rsidR="00652340" w:rsidRPr="00602AE7" w:rsidRDefault="00652340" w:rsidP="00652340">
      <w:pPr>
        <w:pStyle w:val="ListParagraph"/>
        <w:numPr>
          <w:ilvl w:val="0"/>
          <w:numId w:val="1"/>
        </w:numPr>
        <w:rPr>
          <w:rFonts w:eastAsia="SimSun"/>
          <w:lang w:eastAsia="zh-CN"/>
        </w:rPr>
      </w:pPr>
      <w:r>
        <w:rPr>
          <w:rFonts w:eastAsia="SimSun"/>
          <w:lang w:eastAsia="zh-CN"/>
        </w:rPr>
        <w:t>R4-1710081, “WF on Power Class for mm-Wave,” Qualcomm, Intel, LGE, 3GPP NR AH#3, September 2017</w:t>
      </w:r>
    </w:p>
    <w:p w:rsidR="00D623CF" w:rsidRPr="00D623CF" w:rsidRDefault="00D623CF" w:rsidP="00652340">
      <w:pPr>
        <w:pStyle w:val="ListParagraph"/>
        <w:numPr>
          <w:ilvl w:val="0"/>
          <w:numId w:val="1"/>
        </w:numPr>
        <w:rPr>
          <w:rFonts w:eastAsia="SimSun"/>
          <w:lang w:eastAsia="zh-CN"/>
        </w:rPr>
      </w:pPr>
      <w:r>
        <w:rPr>
          <w:rFonts w:eastAsia="SimSun"/>
          <w:lang w:eastAsia="zh-CN"/>
        </w:rPr>
        <w:t>R4-170</w:t>
      </w:r>
      <w:r w:rsidR="00601D75">
        <w:rPr>
          <w:rFonts w:eastAsia="SimSun"/>
          <w:lang w:eastAsia="zh-CN"/>
        </w:rPr>
        <w:t>8618</w:t>
      </w:r>
      <w:r>
        <w:rPr>
          <w:rFonts w:eastAsia="SimSun"/>
          <w:lang w:eastAsia="zh-CN"/>
        </w:rPr>
        <w:t xml:space="preserve">, </w:t>
      </w:r>
      <w:r w:rsidR="00D11F7A">
        <w:rPr>
          <w:rFonts w:eastAsia="SimSun"/>
          <w:lang w:eastAsia="zh-CN"/>
        </w:rPr>
        <w:t xml:space="preserve">“UE Power Class for mm-wave,” </w:t>
      </w:r>
      <w:r>
        <w:rPr>
          <w:rFonts w:eastAsia="SimSun"/>
          <w:lang w:eastAsia="zh-CN"/>
        </w:rPr>
        <w:t>Intel</w:t>
      </w:r>
      <w:r w:rsidR="00F65019">
        <w:rPr>
          <w:rFonts w:eastAsia="SimSun"/>
          <w:lang w:eastAsia="zh-CN"/>
        </w:rPr>
        <w:t xml:space="preserve"> Corp.</w:t>
      </w:r>
      <w:r>
        <w:rPr>
          <w:rFonts w:eastAsia="SimSun"/>
          <w:lang w:eastAsia="zh-CN"/>
        </w:rPr>
        <w:t>,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9F671B">
        <w:rPr>
          <w:rFonts w:eastAsia="SimSun"/>
          <w:lang w:eastAsia="zh-CN"/>
        </w:rPr>
        <w:t>7818</w:t>
      </w:r>
      <w:r>
        <w:rPr>
          <w:rFonts w:eastAsia="SimSun"/>
          <w:lang w:eastAsia="zh-CN"/>
        </w:rPr>
        <w:t xml:space="preserve">, </w:t>
      </w:r>
      <w:r w:rsidR="002D310C">
        <w:rPr>
          <w:rFonts w:eastAsia="SimSun"/>
          <w:lang w:eastAsia="zh-CN"/>
        </w:rPr>
        <w:t xml:space="preserve">“mmW UE power class,” </w:t>
      </w:r>
      <w:r>
        <w:rPr>
          <w:rFonts w:eastAsia="SimSun"/>
          <w:lang w:eastAsia="zh-CN"/>
        </w:rPr>
        <w:t>MediaTek,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9F671B">
        <w:rPr>
          <w:rFonts w:eastAsia="SimSun"/>
          <w:lang w:eastAsia="zh-CN"/>
        </w:rPr>
        <w:t>8609</w:t>
      </w:r>
      <w:r>
        <w:rPr>
          <w:rFonts w:eastAsia="SimSun"/>
          <w:lang w:eastAsia="zh-CN"/>
        </w:rPr>
        <w:t xml:space="preserve">, </w:t>
      </w:r>
      <w:r w:rsidR="00D11F7A">
        <w:rPr>
          <w:rFonts w:eastAsia="SimSun"/>
          <w:lang w:eastAsia="zh-CN"/>
        </w:rPr>
        <w:t xml:space="preserve">“mmW Output Power,” </w:t>
      </w:r>
      <w:r>
        <w:rPr>
          <w:rFonts w:eastAsia="SimSun"/>
          <w:lang w:eastAsia="zh-CN"/>
        </w:rPr>
        <w:t>Qualcomm,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9F671B">
        <w:rPr>
          <w:rFonts w:eastAsia="SimSun"/>
          <w:lang w:eastAsia="zh-CN"/>
        </w:rPr>
        <w:t>8162</w:t>
      </w:r>
      <w:r>
        <w:rPr>
          <w:rFonts w:eastAsia="SimSun"/>
          <w:lang w:eastAsia="zh-CN"/>
        </w:rPr>
        <w:t xml:space="preserve">, </w:t>
      </w:r>
      <w:r w:rsidR="002D310C">
        <w:rPr>
          <w:rFonts w:eastAsia="SimSun"/>
          <w:lang w:eastAsia="zh-CN"/>
        </w:rPr>
        <w:t xml:space="preserve">“NR UE power class for mmWave UE,” </w:t>
      </w:r>
      <w:r>
        <w:rPr>
          <w:rFonts w:eastAsia="SimSun"/>
          <w:lang w:eastAsia="zh-CN"/>
        </w:rPr>
        <w:t>LG,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9F671B">
        <w:rPr>
          <w:rFonts w:eastAsia="SimSun"/>
          <w:lang w:eastAsia="zh-CN"/>
        </w:rPr>
        <w:t>7825</w:t>
      </w:r>
      <w:r w:rsidR="002D310C">
        <w:rPr>
          <w:rFonts w:eastAsia="SimSun"/>
          <w:lang w:eastAsia="zh-CN"/>
        </w:rPr>
        <w:t xml:space="preserve">, “Preliminary smartphone EIRP performance evaluation,” </w:t>
      </w:r>
      <w:r>
        <w:rPr>
          <w:rFonts w:eastAsia="SimSun"/>
          <w:lang w:eastAsia="zh-CN"/>
        </w:rPr>
        <w:t xml:space="preserve"> Huawei,</w:t>
      </w:r>
      <w:r w:rsidR="002D310C">
        <w:rPr>
          <w:rFonts w:eastAsia="SimSun"/>
          <w:lang w:eastAsia="zh-CN"/>
        </w:rPr>
        <w:t xml:space="preserve"> HiSilicon,</w:t>
      </w:r>
      <w:r w:rsidR="00D11F7A">
        <w:rPr>
          <w:rFonts w:eastAsia="SimSun"/>
          <w:lang w:eastAsia="zh-CN"/>
        </w:rPr>
        <w:t xml:space="preserve"> </w:t>
      </w:r>
      <w:r>
        <w:rPr>
          <w:rFonts w:eastAsia="SimSun"/>
          <w:lang w:eastAsia="zh-CN"/>
        </w:rPr>
        <w:t>RAN4 #84, Aug</w:t>
      </w:r>
      <w:r w:rsidR="00D11F7A">
        <w:rPr>
          <w:rFonts w:eastAsia="SimSun"/>
          <w:lang w:eastAsia="zh-CN"/>
        </w:rPr>
        <w:t>.</w:t>
      </w:r>
      <w:r>
        <w:rPr>
          <w:rFonts w:eastAsia="SimSun"/>
          <w:lang w:eastAsia="zh-CN"/>
        </w:rPr>
        <w:t xml:space="preserve">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F65019">
        <w:rPr>
          <w:rFonts w:eastAsia="SimSun"/>
          <w:lang w:eastAsia="zh-CN"/>
        </w:rPr>
        <w:t>7331</w:t>
      </w:r>
      <w:r>
        <w:rPr>
          <w:rFonts w:eastAsia="SimSun"/>
          <w:lang w:eastAsia="zh-CN"/>
        </w:rPr>
        <w:t xml:space="preserve">, </w:t>
      </w:r>
      <w:r w:rsidR="002D310C">
        <w:rPr>
          <w:rFonts w:eastAsia="SimSun"/>
          <w:lang w:eastAsia="zh-CN"/>
        </w:rPr>
        <w:t xml:space="preserve">“UE Power class for mmWave 28GHz,” </w:t>
      </w:r>
      <w:r>
        <w:rPr>
          <w:rFonts w:eastAsia="SimSun"/>
          <w:lang w:eastAsia="zh-CN"/>
        </w:rPr>
        <w:t>Sony,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9F671B">
        <w:rPr>
          <w:rFonts w:eastAsia="SimSun"/>
          <w:lang w:eastAsia="zh-CN"/>
        </w:rPr>
        <w:t>7567</w:t>
      </w:r>
      <w:r>
        <w:rPr>
          <w:rFonts w:eastAsia="SimSun"/>
          <w:lang w:eastAsia="zh-CN"/>
        </w:rPr>
        <w:t xml:space="preserve">, </w:t>
      </w:r>
      <w:r w:rsidR="002D310C">
        <w:rPr>
          <w:rFonts w:eastAsia="SimSun"/>
          <w:lang w:eastAsia="zh-CN"/>
        </w:rPr>
        <w:t xml:space="preserve">“EIRP assumption for mmWave,” </w:t>
      </w:r>
      <w:r>
        <w:rPr>
          <w:rFonts w:eastAsia="SimSun"/>
          <w:lang w:eastAsia="zh-CN"/>
        </w:rPr>
        <w:t>NTT DOCOMO Inc., 3GPP RAN4 #84, August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F65019">
        <w:rPr>
          <w:rFonts w:eastAsia="SimSun"/>
          <w:lang w:eastAsia="zh-CN"/>
        </w:rPr>
        <w:t>940</w:t>
      </w:r>
      <w:r w:rsidR="00D11F7A">
        <w:rPr>
          <w:rFonts w:eastAsia="SimSun"/>
          <w:lang w:eastAsia="zh-CN"/>
        </w:rPr>
        <w:t>3</w:t>
      </w:r>
      <w:r>
        <w:rPr>
          <w:rFonts w:eastAsia="SimSun"/>
          <w:lang w:eastAsia="zh-CN"/>
        </w:rPr>
        <w:t xml:space="preserve">, </w:t>
      </w:r>
      <w:r w:rsidR="00F65019">
        <w:rPr>
          <w:rFonts w:eastAsia="SimSun"/>
          <w:lang w:eastAsia="zh-CN"/>
        </w:rPr>
        <w:t>“</w:t>
      </w:r>
      <w:r w:rsidR="00D11F7A">
        <w:rPr>
          <w:rFonts w:eastAsia="SimSun"/>
          <w:lang w:eastAsia="zh-CN"/>
        </w:rPr>
        <w:t>On Spherical Coverage: EIRP CDF data for mm-wave</w:t>
      </w:r>
      <w:r w:rsidR="00F65019">
        <w:rPr>
          <w:rFonts w:eastAsia="SimSun"/>
          <w:lang w:eastAsia="zh-CN"/>
        </w:rPr>
        <w:t xml:space="preserve">,” </w:t>
      </w:r>
      <w:r>
        <w:rPr>
          <w:rFonts w:eastAsia="SimSun"/>
          <w:lang w:eastAsia="zh-CN"/>
        </w:rPr>
        <w:t>Intel</w:t>
      </w:r>
      <w:r w:rsidR="00F65019">
        <w:rPr>
          <w:rFonts w:eastAsia="SimSun"/>
          <w:lang w:eastAsia="zh-CN"/>
        </w:rPr>
        <w:t xml:space="preserve"> Corp.</w:t>
      </w:r>
      <w:r>
        <w:rPr>
          <w:rFonts w:eastAsia="SimSun"/>
          <w:lang w:eastAsia="zh-CN"/>
        </w:rPr>
        <w:t>, 3GPP NR AH#3, Sept</w:t>
      </w:r>
      <w:r w:rsidR="00D11F7A">
        <w:rPr>
          <w:rFonts w:eastAsia="SimSun"/>
          <w:lang w:eastAsia="zh-CN"/>
        </w:rPr>
        <w:t>.</w:t>
      </w:r>
      <w:r>
        <w:rPr>
          <w:rFonts w:eastAsia="SimSun"/>
          <w:lang w:eastAsia="zh-CN"/>
        </w:rPr>
        <w:t xml:space="preserve">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601D75">
        <w:rPr>
          <w:rFonts w:eastAsia="SimSun"/>
          <w:lang w:eastAsia="zh-CN"/>
        </w:rPr>
        <w:t>9445</w:t>
      </w:r>
      <w:r>
        <w:rPr>
          <w:rFonts w:eastAsia="SimSun"/>
          <w:lang w:eastAsia="zh-CN"/>
        </w:rPr>
        <w:t xml:space="preserve">, </w:t>
      </w:r>
      <w:r w:rsidR="00D11F7A">
        <w:rPr>
          <w:rFonts w:eastAsia="SimSun"/>
          <w:lang w:eastAsia="zh-CN"/>
        </w:rPr>
        <w:t xml:space="preserve">“mmWave UE power class for 28 GHz band,” </w:t>
      </w:r>
      <w:r>
        <w:rPr>
          <w:rFonts w:eastAsia="SimSun"/>
          <w:lang w:eastAsia="zh-CN"/>
        </w:rPr>
        <w:t xml:space="preserve">MediaTek, </w:t>
      </w:r>
      <w:r w:rsidR="009F671B">
        <w:rPr>
          <w:rFonts w:eastAsia="SimSun"/>
          <w:lang w:eastAsia="zh-CN"/>
        </w:rPr>
        <w:t>3GPP NR AH#3, September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601D75">
        <w:rPr>
          <w:rFonts w:eastAsia="SimSun"/>
          <w:lang w:eastAsia="zh-CN"/>
        </w:rPr>
        <w:t>9835</w:t>
      </w:r>
      <w:r>
        <w:rPr>
          <w:rFonts w:eastAsia="SimSun"/>
          <w:lang w:eastAsia="zh-CN"/>
        </w:rPr>
        <w:t xml:space="preserve">, </w:t>
      </w:r>
      <w:r w:rsidR="00D11F7A">
        <w:rPr>
          <w:rFonts w:eastAsia="SimSun"/>
          <w:lang w:eastAsia="zh-CN"/>
        </w:rPr>
        <w:t xml:space="preserve">“Output power values for mmW,” </w:t>
      </w:r>
      <w:r>
        <w:rPr>
          <w:rFonts w:eastAsia="SimSun"/>
          <w:lang w:eastAsia="zh-CN"/>
        </w:rPr>
        <w:t xml:space="preserve">Qualcomm, </w:t>
      </w:r>
      <w:r w:rsidR="009F671B">
        <w:rPr>
          <w:rFonts w:eastAsia="SimSun"/>
          <w:lang w:eastAsia="zh-CN"/>
        </w:rPr>
        <w:t>3GPP NR AH#3, September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601D75">
        <w:rPr>
          <w:rFonts w:eastAsia="SimSun"/>
          <w:lang w:eastAsia="zh-CN"/>
        </w:rPr>
        <w:t>9575</w:t>
      </w:r>
      <w:r>
        <w:rPr>
          <w:rFonts w:eastAsia="SimSun"/>
          <w:lang w:eastAsia="zh-CN"/>
        </w:rPr>
        <w:t xml:space="preserve">, </w:t>
      </w:r>
      <w:r w:rsidR="00D11F7A">
        <w:rPr>
          <w:rFonts w:eastAsia="SimSun"/>
          <w:lang w:eastAsia="zh-CN"/>
        </w:rPr>
        <w:t xml:space="preserve">“NR UE power class for mmWave,” </w:t>
      </w:r>
      <w:r>
        <w:rPr>
          <w:rFonts w:eastAsia="SimSun"/>
          <w:lang w:eastAsia="zh-CN"/>
        </w:rPr>
        <w:t xml:space="preserve">LG, </w:t>
      </w:r>
      <w:r w:rsidR="009F671B">
        <w:rPr>
          <w:rFonts w:eastAsia="SimSun"/>
          <w:lang w:eastAsia="zh-CN"/>
        </w:rPr>
        <w:t>3GPP NR AH#3, September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601D75">
        <w:rPr>
          <w:rFonts w:eastAsia="SimSun"/>
          <w:lang w:eastAsia="zh-CN"/>
        </w:rPr>
        <w:t>9539</w:t>
      </w:r>
      <w:r>
        <w:rPr>
          <w:rFonts w:eastAsia="SimSun"/>
          <w:lang w:eastAsia="zh-CN"/>
        </w:rPr>
        <w:t xml:space="preserve">, </w:t>
      </w:r>
      <w:r w:rsidR="00D11F7A">
        <w:rPr>
          <w:rFonts w:eastAsia="SimSun"/>
          <w:lang w:eastAsia="zh-CN"/>
        </w:rPr>
        <w:t xml:space="preserve">“mmWave power class and power control,” </w:t>
      </w:r>
      <w:r>
        <w:rPr>
          <w:rFonts w:eastAsia="SimSun"/>
          <w:lang w:eastAsia="zh-CN"/>
        </w:rPr>
        <w:t xml:space="preserve">Huawei, </w:t>
      </w:r>
      <w:r w:rsidR="00D11F7A">
        <w:rPr>
          <w:rFonts w:eastAsia="SimSun"/>
          <w:lang w:eastAsia="zh-CN"/>
        </w:rPr>
        <w:t xml:space="preserve">HiSilicon, </w:t>
      </w:r>
      <w:r w:rsidR="009F671B">
        <w:rPr>
          <w:rFonts w:eastAsia="SimSun"/>
          <w:lang w:eastAsia="zh-CN"/>
        </w:rPr>
        <w:t>3GPP NR AH#3, September 2017</w:t>
      </w:r>
    </w:p>
    <w:p w:rsidR="00D623CF" w:rsidRPr="00D623CF" w:rsidRDefault="00D623CF" w:rsidP="00D623CF">
      <w:pPr>
        <w:pStyle w:val="ListParagraph"/>
        <w:numPr>
          <w:ilvl w:val="0"/>
          <w:numId w:val="1"/>
        </w:numPr>
        <w:rPr>
          <w:rFonts w:eastAsia="SimSun"/>
          <w:lang w:eastAsia="zh-CN"/>
        </w:rPr>
      </w:pPr>
      <w:r>
        <w:rPr>
          <w:rFonts w:eastAsia="SimSun"/>
          <w:lang w:eastAsia="zh-CN"/>
        </w:rPr>
        <w:t>R4-170</w:t>
      </w:r>
      <w:r w:rsidR="00601D75">
        <w:rPr>
          <w:rFonts w:eastAsia="SimSun"/>
          <w:lang w:eastAsia="zh-CN"/>
        </w:rPr>
        <w:t>9750</w:t>
      </w:r>
      <w:r>
        <w:rPr>
          <w:rFonts w:eastAsia="SimSun"/>
          <w:lang w:eastAsia="zh-CN"/>
        </w:rPr>
        <w:t xml:space="preserve">, </w:t>
      </w:r>
      <w:r w:rsidR="00D11F7A">
        <w:rPr>
          <w:rFonts w:eastAsia="SimSun"/>
          <w:lang w:eastAsia="zh-CN"/>
        </w:rPr>
        <w:t xml:space="preserve">“UE Power class for mmWave 28GHz,” </w:t>
      </w:r>
      <w:r>
        <w:rPr>
          <w:rFonts w:eastAsia="SimSun"/>
          <w:lang w:eastAsia="zh-CN"/>
        </w:rPr>
        <w:t xml:space="preserve">Sony, </w:t>
      </w:r>
      <w:r w:rsidR="009F671B">
        <w:rPr>
          <w:rFonts w:eastAsia="SimSun"/>
          <w:lang w:eastAsia="zh-CN"/>
        </w:rPr>
        <w:t>3GPP NR AH#3, September 2017</w:t>
      </w:r>
    </w:p>
    <w:p w:rsidR="00D623CF" w:rsidRPr="00384E7F" w:rsidRDefault="00D623CF" w:rsidP="00384E7F">
      <w:pPr>
        <w:pStyle w:val="ListParagraph"/>
        <w:numPr>
          <w:ilvl w:val="0"/>
          <w:numId w:val="1"/>
        </w:numPr>
        <w:rPr>
          <w:rFonts w:eastAsia="SimSun"/>
          <w:lang w:eastAsia="zh-CN"/>
        </w:rPr>
      </w:pPr>
      <w:r>
        <w:rPr>
          <w:rFonts w:eastAsia="SimSun"/>
          <w:lang w:eastAsia="zh-CN"/>
        </w:rPr>
        <w:t>R4-170</w:t>
      </w:r>
      <w:r w:rsidR="00601D75">
        <w:rPr>
          <w:rFonts w:eastAsia="SimSun"/>
          <w:lang w:eastAsia="zh-CN"/>
        </w:rPr>
        <w:t>9394</w:t>
      </w:r>
      <w:r>
        <w:rPr>
          <w:rFonts w:eastAsia="SimSun"/>
          <w:lang w:eastAsia="zh-CN"/>
        </w:rPr>
        <w:t xml:space="preserve">, </w:t>
      </w:r>
      <w:r w:rsidR="00D11F7A">
        <w:rPr>
          <w:rFonts w:eastAsia="SimSun"/>
          <w:lang w:eastAsia="zh-CN"/>
        </w:rPr>
        <w:t xml:space="preserve">“EIRP CDF for mmWave UE,” </w:t>
      </w:r>
      <w:r>
        <w:rPr>
          <w:rFonts w:eastAsia="SimSun"/>
          <w:lang w:eastAsia="zh-CN"/>
        </w:rPr>
        <w:t xml:space="preserve">NTT DOCOMO Inc., </w:t>
      </w:r>
      <w:r w:rsidR="009F671B">
        <w:rPr>
          <w:rFonts w:eastAsia="SimSun"/>
          <w:lang w:eastAsia="zh-CN"/>
        </w:rPr>
        <w:t>3GPP NR AH#3, September 2017</w:t>
      </w:r>
    </w:p>
    <w:sectPr w:rsidR="00D623CF" w:rsidRPr="00384E7F" w:rsidSect="00C51C96">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17E" w:rsidRDefault="005D417E">
      <w:pPr>
        <w:spacing w:after="0"/>
      </w:pPr>
      <w:r>
        <w:separator/>
      </w:r>
    </w:p>
  </w:endnote>
  <w:endnote w:type="continuationSeparator" w:id="0">
    <w:p w:rsidR="005D417E" w:rsidRDefault="005D41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019" w:rsidRPr="00FB0969" w:rsidRDefault="00F65019" w:rsidP="00C51C96">
    <w:pPr>
      <w:pStyle w:val="Footer"/>
    </w:pPr>
    <w:r>
      <w:rPr>
        <w:noProof w:val="0"/>
      </w:rPr>
      <w:fldChar w:fldCharType="begin"/>
    </w:r>
    <w:r>
      <w:rPr>
        <w:noProof w:val="0"/>
      </w:rPr>
      <w:instrText xml:space="preserve"> PAGE   \* MERGEFORMAT </w:instrText>
    </w:r>
    <w:r>
      <w:rPr>
        <w:noProof w:val="0"/>
      </w:rPr>
      <w:fldChar w:fldCharType="separate"/>
    </w:r>
    <w:r w:rsidR="00BF099B">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BF099B">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17E" w:rsidRDefault="005D417E">
      <w:pPr>
        <w:spacing w:after="0"/>
      </w:pPr>
      <w:r>
        <w:separator/>
      </w:r>
    </w:p>
  </w:footnote>
  <w:footnote w:type="continuationSeparator" w:id="0">
    <w:p w:rsidR="005D417E" w:rsidRDefault="005D41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65599"/>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27CA0"/>
    <w:multiLevelType w:val="hybridMultilevel"/>
    <w:tmpl w:val="D6A89D46"/>
    <w:lvl w:ilvl="0" w:tplc="095C49D6">
      <w:start w:val="1"/>
      <w:numFmt w:val="bullet"/>
      <w:lvlText w:val="•"/>
      <w:lvlJc w:val="left"/>
      <w:pPr>
        <w:tabs>
          <w:tab w:val="num" w:pos="360"/>
        </w:tabs>
        <w:ind w:left="360" w:hanging="360"/>
      </w:pPr>
      <w:rPr>
        <w:rFonts w:ascii="Arial" w:hAnsi="Arial"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A77DB8"/>
    <w:multiLevelType w:val="hybridMultilevel"/>
    <w:tmpl w:val="1F1E0736"/>
    <w:lvl w:ilvl="0" w:tplc="04090005">
      <w:start w:val="1"/>
      <w:numFmt w:val="bullet"/>
      <w:lvlText w:val=""/>
      <w:lvlJc w:val="left"/>
      <w:pPr>
        <w:ind w:left="360" w:hanging="360"/>
      </w:pPr>
      <w:rPr>
        <w:rFonts w:ascii="Wingdings" w:hAnsi="Wingdings" w:hint="default"/>
      </w:rPr>
    </w:lvl>
    <w:lvl w:ilvl="1" w:tplc="3EDAC65C">
      <w:start w:val="1"/>
      <w:numFmt w:val="bullet"/>
      <w:lvlText w:val="o"/>
      <w:lvlJc w:val="left"/>
      <w:pPr>
        <w:ind w:left="840" w:hanging="420"/>
      </w:pPr>
      <w:rPr>
        <w:rFonts w:ascii="Courier New" w:hAnsi="Courier New" w:hint="default"/>
        <w:color w:val="auto"/>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9"/>
  </w:num>
  <w:num w:numId="5">
    <w:abstractNumId w:val="7"/>
  </w:num>
  <w:num w:numId="6">
    <w:abstractNumId w:val="12"/>
  </w:num>
  <w:num w:numId="7">
    <w:abstractNumId w:val="3"/>
  </w:num>
  <w:num w:numId="8">
    <w:abstractNumId w:val="14"/>
  </w:num>
  <w:num w:numId="9">
    <w:abstractNumId w:val="8"/>
  </w:num>
  <w:num w:numId="10">
    <w:abstractNumId w:val="10"/>
  </w:num>
  <w:num w:numId="11">
    <w:abstractNumId w:val="11"/>
  </w:num>
  <w:num w:numId="12">
    <w:abstractNumId w:val="5"/>
  </w:num>
  <w:num w:numId="13">
    <w:abstractNumId w:val="6"/>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020EE"/>
    <w:rsid w:val="00034687"/>
    <w:rsid w:val="000457D3"/>
    <w:rsid w:val="00046DFF"/>
    <w:rsid w:val="00077AEB"/>
    <w:rsid w:val="000868E3"/>
    <w:rsid w:val="000918C5"/>
    <w:rsid w:val="0009579B"/>
    <w:rsid w:val="000A17D5"/>
    <w:rsid w:val="000E53EF"/>
    <w:rsid w:val="001234CE"/>
    <w:rsid w:val="001528FA"/>
    <w:rsid w:val="00153788"/>
    <w:rsid w:val="00162DBD"/>
    <w:rsid w:val="001A7D86"/>
    <w:rsid w:val="001B0AE7"/>
    <w:rsid w:val="001B663D"/>
    <w:rsid w:val="001C705A"/>
    <w:rsid w:val="001D7EB0"/>
    <w:rsid w:val="001E524A"/>
    <w:rsid w:val="001F5B3B"/>
    <w:rsid w:val="001F7BF3"/>
    <w:rsid w:val="00207878"/>
    <w:rsid w:val="00214112"/>
    <w:rsid w:val="00257934"/>
    <w:rsid w:val="00264BD1"/>
    <w:rsid w:val="002674E6"/>
    <w:rsid w:val="002678A0"/>
    <w:rsid w:val="00276891"/>
    <w:rsid w:val="002944FD"/>
    <w:rsid w:val="002951AA"/>
    <w:rsid w:val="002A64EB"/>
    <w:rsid w:val="002D310C"/>
    <w:rsid w:val="002F0BCB"/>
    <w:rsid w:val="002F65D0"/>
    <w:rsid w:val="003166E0"/>
    <w:rsid w:val="00324DF2"/>
    <w:rsid w:val="00341212"/>
    <w:rsid w:val="00351A82"/>
    <w:rsid w:val="003537A7"/>
    <w:rsid w:val="00357462"/>
    <w:rsid w:val="00384E7F"/>
    <w:rsid w:val="00391875"/>
    <w:rsid w:val="00397DC8"/>
    <w:rsid w:val="003A287D"/>
    <w:rsid w:val="003C182B"/>
    <w:rsid w:val="003C3B46"/>
    <w:rsid w:val="003D0E8F"/>
    <w:rsid w:val="003D50E8"/>
    <w:rsid w:val="00441097"/>
    <w:rsid w:val="00472D8B"/>
    <w:rsid w:val="00484EED"/>
    <w:rsid w:val="004B27DD"/>
    <w:rsid w:val="004B36C9"/>
    <w:rsid w:val="004D7331"/>
    <w:rsid w:val="004D7867"/>
    <w:rsid w:val="004E4DEC"/>
    <w:rsid w:val="004F368A"/>
    <w:rsid w:val="00505DE3"/>
    <w:rsid w:val="00516FD0"/>
    <w:rsid w:val="005214AF"/>
    <w:rsid w:val="00523484"/>
    <w:rsid w:val="00572780"/>
    <w:rsid w:val="005C3839"/>
    <w:rsid w:val="005C7641"/>
    <w:rsid w:val="005D417E"/>
    <w:rsid w:val="005D6042"/>
    <w:rsid w:val="005F7EB3"/>
    <w:rsid w:val="00600C0C"/>
    <w:rsid w:val="0060162E"/>
    <w:rsid w:val="00601D75"/>
    <w:rsid w:val="00602AE7"/>
    <w:rsid w:val="00644417"/>
    <w:rsid w:val="00650234"/>
    <w:rsid w:val="00652340"/>
    <w:rsid w:val="00671313"/>
    <w:rsid w:val="006735B9"/>
    <w:rsid w:val="006745DD"/>
    <w:rsid w:val="0068018D"/>
    <w:rsid w:val="006A65A6"/>
    <w:rsid w:val="006B64CA"/>
    <w:rsid w:val="006B6C7E"/>
    <w:rsid w:val="006C1EEF"/>
    <w:rsid w:val="006E0B00"/>
    <w:rsid w:val="006E7998"/>
    <w:rsid w:val="006F466E"/>
    <w:rsid w:val="007165DA"/>
    <w:rsid w:val="00716860"/>
    <w:rsid w:val="0073693C"/>
    <w:rsid w:val="007565A7"/>
    <w:rsid w:val="00764D1E"/>
    <w:rsid w:val="00784470"/>
    <w:rsid w:val="00793CFF"/>
    <w:rsid w:val="007A089D"/>
    <w:rsid w:val="007C0C0E"/>
    <w:rsid w:val="007E30CD"/>
    <w:rsid w:val="007F7472"/>
    <w:rsid w:val="008049AD"/>
    <w:rsid w:val="00833D5C"/>
    <w:rsid w:val="008A2803"/>
    <w:rsid w:val="008A284C"/>
    <w:rsid w:val="008D2020"/>
    <w:rsid w:val="008D39BB"/>
    <w:rsid w:val="008E39CA"/>
    <w:rsid w:val="008F034A"/>
    <w:rsid w:val="00915588"/>
    <w:rsid w:val="00953D69"/>
    <w:rsid w:val="00961C2D"/>
    <w:rsid w:val="009635C8"/>
    <w:rsid w:val="009A1B4A"/>
    <w:rsid w:val="009B6628"/>
    <w:rsid w:val="009D49B0"/>
    <w:rsid w:val="009E1AC6"/>
    <w:rsid w:val="009F671B"/>
    <w:rsid w:val="00A26018"/>
    <w:rsid w:val="00A2741E"/>
    <w:rsid w:val="00A36B1B"/>
    <w:rsid w:val="00A42F13"/>
    <w:rsid w:val="00A45226"/>
    <w:rsid w:val="00A4694E"/>
    <w:rsid w:val="00A5539D"/>
    <w:rsid w:val="00A659EB"/>
    <w:rsid w:val="00A8096C"/>
    <w:rsid w:val="00A80A1D"/>
    <w:rsid w:val="00A97A18"/>
    <w:rsid w:val="00AC1E88"/>
    <w:rsid w:val="00AC5A61"/>
    <w:rsid w:val="00AC708A"/>
    <w:rsid w:val="00AD0FE0"/>
    <w:rsid w:val="00AD46C4"/>
    <w:rsid w:val="00AD64D2"/>
    <w:rsid w:val="00AD71D4"/>
    <w:rsid w:val="00AF29A6"/>
    <w:rsid w:val="00AF333D"/>
    <w:rsid w:val="00B055D6"/>
    <w:rsid w:val="00B15305"/>
    <w:rsid w:val="00B342A0"/>
    <w:rsid w:val="00B42734"/>
    <w:rsid w:val="00B429CD"/>
    <w:rsid w:val="00B44DF6"/>
    <w:rsid w:val="00B47E53"/>
    <w:rsid w:val="00B5081F"/>
    <w:rsid w:val="00B56202"/>
    <w:rsid w:val="00B74D52"/>
    <w:rsid w:val="00B962B6"/>
    <w:rsid w:val="00BC1294"/>
    <w:rsid w:val="00BC5369"/>
    <w:rsid w:val="00BD4B5C"/>
    <w:rsid w:val="00BF099B"/>
    <w:rsid w:val="00BF17BB"/>
    <w:rsid w:val="00C03CEB"/>
    <w:rsid w:val="00C26DCF"/>
    <w:rsid w:val="00C51C96"/>
    <w:rsid w:val="00C62A54"/>
    <w:rsid w:val="00C64908"/>
    <w:rsid w:val="00C972DB"/>
    <w:rsid w:val="00CE5AC4"/>
    <w:rsid w:val="00D04696"/>
    <w:rsid w:val="00D11F7A"/>
    <w:rsid w:val="00D171FF"/>
    <w:rsid w:val="00D623CF"/>
    <w:rsid w:val="00D7349E"/>
    <w:rsid w:val="00D92206"/>
    <w:rsid w:val="00D97FBE"/>
    <w:rsid w:val="00DD5267"/>
    <w:rsid w:val="00DE124B"/>
    <w:rsid w:val="00DE3CCE"/>
    <w:rsid w:val="00DE4AFC"/>
    <w:rsid w:val="00DE7E6A"/>
    <w:rsid w:val="00E05485"/>
    <w:rsid w:val="00E10C98"/>
    <w:rsid w:val="00E335EF"/>
    <w:rsid w:val="00E50C55"/>
    <w:rsid w:val="00E51865"/>
    <w:rsid w:val="00E57BE0"/>
    <w:rsid w:val="00E74BB8"/>
    <w:rsid w:val="00EA3F84"/>
    <w:rsid w:val="00EB59BB"/>
    <w:rsid w:val="00EC3F41"/>
    <w:rsid w:val="00EC6751"/>
    <w:rsid w:val="00F0437B"/>
    <w:rsid w:val="00F43F1E"/>
    <w:rsid w:val="00F65019"/>
    <w:rsid w:val="00F757E2"/>
    <w:rsid w:val="00F8028E"/>
    <w:rsid w:val="00F9041E"/>
    <w:rsid w:val="00FA07CA"/>
    <w:rsid w:val="00FB1A90"/>
    <w:rsid w:val="00FE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D34FFB1-EBCC-4A48-A575-77D20458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2951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1AA"/>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1C705A"/>
    <w:rPr>
      <w:sz w:val="16"/>
      <w:szCs w:val="16"/>
    </w:rPr>
  </w:style>
  <w:style w:type="paragraph" w:styleId="CommentText">
    <w:name w:val="annotation text"/>
    <w:basedOn w:val="Normal"/>
    <w:link w:val="CommentTextChar"/>
    <w:uiPriority w:val="99"/>
    <w:semiHidden/>
    <w:unhideWhenUsed/>
    <w:rsid w:val="001C705A"/>
  </w:style>
  <w:style w:type="character" w:customStyle="1" w:styleId="CommentTextChar">
    <w:name w:val="Comment Text Char"/>
    <w:basedOn w:val="DefaultParagraphFont"/>
    <w:link w:val="CommentText"/>
    <w:uiPriority w:val="99"/>
    <w:semiHidden/>
    <w:rsid w:val="001C705A"/>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1C705A"/>
    <w:rPr>
      <w:b/>
      <w:bCs/>
    </w:rPr>
  </w:style>
  <w:style w:type="character" w:customStyle="1" w:styleId="CommentSubjectChar">
    <w:name w:val="Comment Subject Char"/>
    <w:basedOn w:val="CommentTextChar"/>
    <w:link w:val="CommentSubject"/>
    <w:uiPriority w:val="99"/>
    <w:semiHidden/>
    <w:rsid w:val="001C705A"/>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AD71D4"/>
    <w:pPr>
      <w:spacing w:after="0" w:line="240" w:lineRule="auto"/>
    </w:pPr>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A27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12927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1812</Words>
  <Characters>9120</Characters>
  <Application>Microsoft Office Word</Application>
  <DocSecurity>0</DocSecurity>
  <Lines>337</Lines>
  <Paragraphs>266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cp:keywords>
  <dc:description/>
  <cp:lastModifiedBy>Vera Lopez, Aida L</cp:lastModifiedBy>
  <cp:revision>2</cp:revision>
  <dcterms:created xsi:type="dcterms:W3CDTF">2017-10-02T22:26:00Z</dcterms:created>
  <dcterms:modified xsi:type="dcterms:W3CDTF">2017-10-02T22:26:00Z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221478e4-75fd-41e6-8cd6-9001148f3f2a</vt:lpwstr>
  </property>
  <property fmtid="{D5CDD505-2E9C-101B-9397-08002B2CF9AE}" pid="3" name="CTP_TimeStamp">
    <vt:lpwstr>2017-10-02 21:06:38Z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